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8477E2" w:rsidRDefault="00204519">
      <w:pPr>
        <w:pStyle w:val="Normal0"/>
        <w:ind w:right="51"/>
        <w:jc w:val="center"/>
        <w:rPr>
          <w:rFonts w:ascii="Arial" w:eastAsia="Arial" w:hAnsi="Arial" w:cs="Arial"/>
          <w:b/>
          <w:sz w:val="23"/>
          <w:szCs w:val="23"/>
        </w:rPr>
      </w:pPr>
      <w:r>
        <w:rPr>
          <w:rFonts w:ascii="Arial" w:eastAsia="Arial" w:hAnsi="Arial" w:cs="Arial"/>
          <w:b/>
          <w:sz w:val="23"/>
          <w:szCs w:val="23"/>
        </w:rPr>
        <w:t>MEMORIA JUSTIFICATIVA DEL PROYECTO DE RESOLUCIÓN</w:t>
      </w:r>
    </w:p>
    <w:p w14:paraId="28BD3A73" w14:textId="77777777" w:rsidR="00703473" w:rsidRPr="00DD1B72" w:rsidRDefault="00703473" w:rsidP="00DD1B72">
      <w:pPr>
        <w:pStyle w:val="Normal0"/>
        <w:pBdr>
          <w:top w:val="nil"/>
          <w:left w:val="nil"/>
          <w:bottom w:val="nil"/>
          <w:right w:val="nil"/>
          <w:between w:val="nil"/>
        </w:pBdr>
        <w:spacing w:after="0" w:line="240" w:lineRule="auto"/>
        <w:ind w:right="51"/>
        <w:jc w:val="center"/>
        <w:rPr>
          <w:rFonts w:ascii="Arial" w:eastAsia="Arial" w:hAnsi="Arial" w:cs="Arial"/>
          <w:i/>
          <w:iCs/>
          <w:color w:val="000000"/>
          <w:sz w:val="23"/>
          <w:szCs w:val="23"/>
        </w:rPr>
      </w:pPr>
      <w:bookmarkStart w:id="0" w:name="_Hlk52213900"/>
      <w:r w:rsidRPr="00DD1B72">
        <w:rPr>
          <w:rFonts w:ascii="Arial" w:eastAsia="Arial" w:hAnsi="Arial" w:cs="Arial"/>
          <w:i/>
          <w:iCs/>
          <w:color w:val="000000"/>
          <w:sz w:val="23"/>
          <w:szCs w:val="23"/>
        </w:rPr>
        <w:t xml:space="preserve">“Por la cual se modifican los documentos tipo adoptados por la Agencia Nacional de Contratación Pública </w:t>
      </w:r>
      <w:r w:rsidRPr="00DD1B72" w:rsidDel="006A3DB7">
        <w:rPr>
          <w:rFonts w:ascii="Arial" w:eastAsia="Arial" w:hAnsi="Arial" w:cs="Arial"/>
          <w:i/>
          <w:iCs/>
          <w:color w:val="000000"/>
          <w:sz w:val="23"/>
          <w:szCs w:val="23"/>
        </w:rPr>
        <w:t>–</w:t>
      </w:r>
      <w:r w:rsidRPr="00DD1B72">
        <w:rPr>
          <w:rFonts w:ascii="Arial" w:eastAsia="Arial" w:hAnsi="Arial" w:cs="Arial"/>
          <w:i/>
          <w:iCs/>
          <w:color w:val="000000"/>
          <w:sz w:val="23"/>
          <w:szCs w:val="23"/>
        </w:rPr>
        <w:t xml:space="preserve"> Colombia Compra Eficiente”</w:t>
      </w:r>
    </w:p>
    <w:bookmarkEnd w:id="0"/>
    <w:p w14:paraId="00000003" w14:textId="77777777" w:rsidR="008477E2" w:rsidRDefault="008477E2">
      <w:pPr>
        <w:pStyle w:val="Normal0"/>
        <w:pBdr>
          <w:top w:val="nil"/>
          <w:left w:val="nil"/>
          <w:bottom w:val="nil"/>
          <w:right w:val="nil"/>
          <w:between w:val="nil"/>
        </w:pBdr>
        <w:spacing w:after="0" w:line="240" w:lineRule="auto"/>
        <w:ind w:right="51"/>
        <w:jc w:val="both"/>
        <w:rPr>
          <w:rFonts w:ascii="Arial" w:eastAsia="Arial" w:hAnsi="Arial" w:cs="Arial"/>
          <w:color w:val="000000"/>
          <w:sz w:val="23"/>
          <w:szCs w:val="23"/>
        </w:rPr>
      </w:pPr>
    </w:p>
    <w:p w14:paraId="00000004" w14:textId="757FB440" w:rsidR="008477E2" w:rsidRDefault="00204519">
      <w:pPr>
        <w:pStyle w:val="Normal0"/>
        <w:pBdr>
          <w:top w:val="nil"/>
          <w:left w:val="nil"/>
          <w:bottom w:val="nil"/>
          <w:right w:val="nil"/>
          <w:between w:val="nil"/>
        </w:pBdr>
        <w:spacing w:after="0" w:line="240" w:lineRule="auto"/>
        <w:ind w:right="51"/>
        <w:jc w:val="both"/>
        <w:rPr>
          <w:rFonts w:ascii="Arial" w:eastAsia="Arial" w:hAnsi="Arial" w:cs="Arial"/>
          <w:color w:val="000000"/>
          <w:sz w:val="23"/>
          <w:szCs w:val="23"/>
        </w:rPr>
      </w:pPr>
      <w:r>
        <w:rPr>
          <w:rFonts w:ascii="Arial" w:eastAsia="Arial" w:hAnsi="Arial" w:cs="Arial"/>
          <w:color w:val="000000"/>
          <w:sz w:val="23"/>
          <w:szCs w:val="23"/>
        </w:rPr>
        <w:t xml:space="preserve">El presente escrito contiene el soporte técnico de la resolución mediante la cual la Agencia Nacional de Contratación Pública </w:t>
      </w:r>
      <w:r w:rsidR="00817076">
        <w:rPr>
          <w:rFonts w:ascii="Arial" w:eastAsia="Arial" w:hAnsi="Arial" w:cs="Arial"/>
          <w:color w:val="000000"/>
          <w:sz w:val="23"/>
          <w:szCs w:val="23"/>
        </w:rPr>
        <w:t>– Colombia Compra Eficiente</w:t>
      </w:r>
      <w:r w:rsidR="00240FB2">
        <w:rPr>
          <w:rFonts w:ascii="Arial" w:eastAsia="Arial" w:hAnsi="Arial" w:cs="Arial"/>
          <w:color w:val="000000"/>
          <w:sz w:val="23"/>
          <w:szCs w:val="23"/>
        </w:rPr>
        <w:t xml:space="preserve">– </w:t>
      </w:r>
      <w:r>
        <w:rPr>
          <w:rFonts w:ascii="Arial" w:eastAsia="Arial" w:hAnsi="Arial" w:cs="Arial"/>
          <w:color w:val="000000"/>
          <w:sz w:val="23"/>
          <w:szCs w:val="23"/>
        </w:rPr>
        <w:t xml:space="preserve">modifica los </w:t>
      </w:r>
      <w:r w:rsidR="00D2061D">
        <w:rPr>
          <w:rFonts w:ascii="Arial" w:eastAsia="Arial" w:hAnsi="Arial" w:cs="Arial"/>
          <w:color w:val="000000"/>
          <w:sz w:val="23"/>
          <w:szCs w:val="23"/>
        </w:rPr>
        <w:t>documentos tipo</w:t>
      </w:r>
      <w:r w:rsidR="00215672">
        <w:rPr>
          <w:rFonts w:ascii="Arial" w:eastAsia="Arial" w:hAnsi="Arial" w:cs="Arial"/>
          <w:color w:val="000000"/>
          <w:sz w:val="23"/>
          <w:szCs w:val="23"/>
        </w:rPr>
        <w:t xml:space="preserve"> para proyectos de obra pública de in</w:t>
      </w:r>
      <w:r w:rsidR="00246515">
        <w:rPr>
          <w:rFonts w:ascii="Arial" w:eastAsia="Arial" w:hAnsi="Arial" w:cs="Arial"/>
          <w:color w:val="000000"/>
          <w:sz w:val="23"/>
          <w:szCs w:val="23"/>
        </w:rPr>
        <w:t xml:space="preserve">fraestructura de transporte </w:t>
      </w:r>
      <w:r w:rsidR="009A58EC">
        <w:rPr>
          <w:rFonts w:ascii="Arial" w:eastAsia="Arial" w:hAnsi="Arial" w:cs="Arial"/>
          <w:color w:val="000000"/>
          <w:sz w:val="23"/>
          <w:szCs w:val="23"/>
        </w:rPr>
        <w:t xml:space="preserve">adelantados bajo la modalidad de licitación de obra pública, selección abreviada de menor cuantía, mínima cuantía e interventoría de obra pública de </w:t>
      </w:r>
      <w:r w:rsidR="005D17A0">
        <w:rPr>
          <w:rFonts w:ascii="Arial" w:eastAsia="Arial" w:hAnsi="Arial" w:cs="Arial"/>
          <w:color w:val="000000"/>
          <w:sz w:val="23"/>
          <w:szCs w:val="23"/>
        </w:rPr>
        <w:t>infraestructura de transporte. Asimismo, a los documentos tipo de obra pública para proyectos de</w:t>
      </w:r>
      <w:r w:rsidR="00D2061D">
        <w:rPr>
          <w:rFonts w:ascii="Arial" w:eastAsia="Arial" w:hAnsi="Arial" w:cs="Arial"/>
          <w:color w:val="000000"/>
          <w:sz w:val="23"/>
          <w:szCs w:val="23"/>
        </w:rPr>
        <w:t xml:space="preserve"> agua potable y </w:t>
      </w:r>
      <w:r w:rsidR="00E65342">
        <w:rPr>
          <w:rFonts w:ascii="Arial" w:eastAsia="Arial" w:hAnsi="Arial" w:cs="Arial"/>
          <w:color w:val="000000"/>
          <w:sz w:val="23"/>
          <w:szCs w:val="23"/>
        </w:rPr>
        <w:t>saneamiento básico</w:t>
      </w:r>
      <w:r w:rsidR="006261A4">
        <w:rPr>
          <w:rFonts w:ascii="Arial" w:eastAsia="Arial" w:hAnsi="Arial" w:cs="Arial"/>
          <w:color w:val="000000"/>
          <w:sz w:val="23"/>
          <w:szCs w:val="23"/>
        </w:rPr>
        <w:t xml:space="preserve"> adelantados bajo la modalidad de licitación de obra pública </w:t>
      </w:r>
      <w:r w:rsidR="00817076">
        <w:rPr>
          <w:rFonts w:ascii="Arial" w:eastAsia="Arial" w:hAnsi="Arial" w:cs="Arial"/>
          <w:color w:val="000000"/>
          <w:sz w:val="23"/>
          <w:szCs w:val="23"/>
        </w:rPr>
        <w:t xml:space="preserve">y los de la modalidad de llave en mano. </w:t>
      </w:r>
    </w:p>
    <w:p w14:paraId="00000005" w14:textId="77777777" w:rsidR="008477E2" w:rsidRDefault="008477E2">
      <w:pPr>
        <w:pStyle w:val="Normal0"/>
        <w:pBdr>
          <w:top w:val="nil"/>
          <w:left w:val="nil"/>
          <w:bottom w:val="nil"/>
          <w:right w:val="nil"/>
          <w:between w:val="nil"/>
        </w:pBdr>
        <w:spacing w:after="0" w:line="240" w:lineRule="auto"/>
        <w:ind w:right="51"/>
        <w:jc w:val="both"/>
        <w:rPr>
          <w:rFonts w:ascii="Arial" w:eastAsia="Arial" w:hAnsi="Arial" w:cs="Arial"/>
          <w:i/>
          <w:color w:val="000000"/>
        </w:rPr>
      </w:pPr>
    </w:p>
    <w:p w14:paraId="00000006" w14:textId="77777777" w:rsidR="008477E2" w:rsidRDefault="00204519">
      <w:pPr>
        <w:pStyle w:val="Normal0"/>
        <w:numPr>
          <w:ilvl w:val="0"/>
          <w:numId w:val="1"/>
        </w:numPr>
        <w:spacing w:after="0" w:line="240" w:lineRule="auto"/>
        <w:ind w:left="0" w:right="51" w:firstLine="0"/>
        <w:jc w:val="both"/>
        <w:rPr>
          <w:rFonts w:ascii="Arial" w:eastAsia="Arial" w:hAnsi="Arial" w:cs="Arial"/>
          <w:b/>
          <w:sz w:val="23"/>
          <w:szCs w:val="23"/>
        </w:rPr>
      </w:pPr>
      <w:r>
        <w:rPr>
          <w:rFonts w:ascii="Arial" w:eastAsia="Arial" w:hAnsi="Arial" w:cs="Arial"/>
          <w:b/>
          <w:sz w:val="23"/>
          <w:szCs w:val="23"/>
        </w:rPr>
        <w:t xml:space="preserve">Antecedentes </w:t>
      </w:r>
    </w:p>
    <w:p w14:paraId="00000007" w14:textId="77777777" w:rsidR="008477E2" w:rsidRDefault="008477E2">
      <w:pPr>
        <w:pStyle w:val="Normal0"/>
        <w:spacing w:after="0" w:line="240" w:lineRule="auto"/>
        <w:ind w:right="51"/>
        <w:jc w:val="both"/>
        <w:rPr>
          <w:rFonts w:ascii="Arial" w:eastAsia="Arial" w:hAnsi="Arial" w:cs="Arial"/>
          <w:b/>
          <w:sz w:val="23"/>
          <w:szCs w:val="23"/>
        </w:rPr>
      </w:pPr>
    </w:p>
    <w:p w14:paraId="00000008" w14:textId="2D0677FF" w:rsidR="008477E2" w:rsidRDefault="00204519">
      <w:pPr>
        <w:pStyle w:val="Normal0"/>
        <w:spacing w:line="240" w:lineRule="auto"/>
        <w:jc w:val="both"/>
        <w:rPr>
          <w:rFonts w:ascii="Arial" w:eastAsia="Arial" w:hAnsi="Arial" w:cs="Arial"/>
          <w:sz w:val="23"/>
          <w:szCs w:val="23"/>
        </w:rPr>
      </w:pPr>
      <w:r>
        <w:rPr>
          <w:rFonts w:ascii="Arial" w:eastAsia="Arial" w:hAnsi="Arial" w:cs="Arial"/>
          <w:sz w:val="23"/>
          <w:szCs w:val="23"/>
        </w:rPr>
        <w:t xml:space="preserve">La Ley 2022 de 2020 facultó a la Agencia Nacional de Contratación Pública –Colombia Compra Eficiente– para adoptar documentos tipo que serán de obligatorio cumplimiento en la actividad contractual de todas las entidades sometidas al Estatuto General de Contratación de la Administración Pública. </w:t>
      </w:r>
    </w:p>
    <w:p w14:paraId="73DCEE2B" w14:textId="45C5FA23" w:rsidR="00CA1D13" w:rsidRDefault="00240FB2">
      <w:pPr>
        <w:pStyle w:val="Normal0"/>
        <w:spacing w:line="240" w:lineRule="auto"/>
        <w:jc w:val="both"/>
        <w:rPr>
          <w:rFonts w:ascii="Arial" w:eastAsia="Arial" w:hAnsi="Arial" w:cs="Arial"/>
          <w:sz w:val="23"/>
          <w:szCs w:val="23"/>
        </w:rPr>
      </w:pPr>
      <w:r>
        <w:rPr>
          <w:rFonts w:ascii="Arial" w:eastAsia="Arial" w:hAnsi="Arial" w:cs="Arial"/>
          <w:sz w:val="23"/>
          <w:szCs w:val="23"/>
        </w:rPr>
        <w:t xml:space="preserve">Atendiendo las facultades previstas en </w:t>
      </w:r>
      <w:r w:rsidR="002F34EC">
        <w:rPr>
          <w:rFonts w:ascii="Arial" w:eastAsia="Arial" w:hAnsi="Arial" w:cs="Arial"/>
          <w:sz w:val="23"/>
          <w:szCs w:val="23"/>
        </w:rPr>
        <w:t>esta ley</w:t>
      </w:r>
      <w:r w:rsidR="00376A49">
        <w:rPr>
          <w:rFonts w:ascii="Arial" w:eastAsia="Arial" w:hAnsi="Arial" w:cs="Arial"/>
          <w:sz w:val="23"/>
          <w:szCs w:val="23"/>
        </w:rPr>
        <w:t>, la Agencia Nacional de Contratación P</w:t>
      </w:r>
      <w:r w:rsidR="00CA1D13">
        <w:rPr>
          <w:rFonts w:ascii="Arial" w:eastAsia="Arial" w:hAnsi="Arial" w:cs="Arial"/>
          <w:sz w:val="23"/>
          <w:szCs w:val="23"/>
        </w:rPr>
        <w:t xml:space="preserve">ublica </w:t>
      </w:r>
      <w:r w:rsidR="009A5FF9" w:rsidRPr="6E5DAE3E">
        <w:rPr>
          <w:rFonts w:ascii="Arial" w:eastAsia="Arial" w:hAnsi="Arial" w:cs="Arial"/>
          <w:sz w:val="23"/>
          <w:szCs w:val="23"/>
        </w:rPr>
        <w:t>a</w:t>
      </w:r>
      <w:r w:rsidR="002F34EC" w:rsidRPr="6E5DAE3E">
        <w:rPr>
          <w:rFonts w:ascii="Arial" w:eastAsia="Arial" w:hAnsi="Arial" w:cs="Arial"/>
          <w:sz w:val="23"/>
          <w:szCs w:val="23"/>
        </w:rPr>
        <w:t>dopt</w:t>
      </w:r>
      <w:r w:rsidR="3D48C077" w:rsidRPr="6E5DAE3E">
        <w:rPr>
          <w:rFonts w:ascii="Arial" w:eastAsia="Arial" w:hAnsi="Arial" w:cs="Arial"/>
          <w:sz w:val="23"/>
          <w:szCs w:val="23"/>
        </w:rPr>
        <w:t>ó</w:t>
      </w:r>
      <w:r w:rsidR="00CA1D13">
        <w:rPr>
          <w:rFonts w:ascii="Arial" w:eastAsia="Arial" w:hAnsi="Arial" w:cs="Arial"/>
          <w:sz w:val="23"/>
          <w:szCs w:val="23"/>
        </w:rPr>
        <w:t xml:space="preserve"> los documentos tipo de obra pública de infraestructura de transporte </w:t>
      </w:r>
      <w:r w:rsidR="000937DA" w:rsidRPr="00DD1B72">
        <w:rPr>
          <w:rFonts w:ascii="Arial" w:eastAsia="Arial" w:hAnsi="Arial" w:cs="Arial"/>
          <w:sz w:val="23"/>
          <w:szCs w:val="23"/>
        </w:rPr>
        <w:t>adelantados bajo la modalidad de licitación pública –Versión 3–  mediante la Resolución 240 del 27 de noviembre de 2020</w:t>
      </w:r>
      <w:r w:rsidR="000937DA">
        <w:rPr>
          <w:rFonts w:ascii="Arial" w:eastAsia="Arial" w:hAnsi="Arial" w:cs="Arial"/>
          <w:sz w:val="23"/>
          <w:szCs w:val="23"/>
        </w:rPr>
        <w:t xml:space="preserve">, la modalidad de selección abreviada de menor cuantía – Versión 2 </w:t>
      </w:r>
      <w:r w:rsidR="000937DA" w:rsidRPr="004B0749">
        <w:rPr>
          <w:rFonts w:ascii="Arial" w:eastAsia="Arial" w:hAnsi="Arial" w:cs="Arial"/>
          <w:sz w:val="23"/>
          <w:szCs w:val="23"/>
        </w:rPr>
        <w:t>–</w:t>
      </w:r>
      <w:r w:rsidR="0096309E">
        <w:rPr>
          <w:rFonts w:ascii="Arial" w:eastAsia="Arial" w:hAnsi="Arial" w:cs="Arial"/>
          <w:sz w:val="23"/>
          <w:szCs w:val="23"/>
        </w:rPr>
        <w:t xml:space="preserve"> </w:t>
      </w:r>
      <w:r w:rsidR="000937DA">
        <w:rPr>
          <w:rFonts w:ascii="Arial" w:eastAsia="Arial" w:hAnsi="Arial" w:cs="Arial"/>
          <w:sz w:val="23"/>
          <w:szCs w:val="23"/>
        </w:rPr>
        <w:t>mediante la Resolución 241 del 27 de noviembre de 2020</w:t>
      </w:r>
      <w:r w:rsidR="009A5FF9">
        <w:rPr>
          <w:rFonts w:ascii="Arial" w:eastAsia="Arial" w:hAnsi="Arial" w:cs="Arial"/>
          <w:sz w:val="23"/>
          <w:szCs w:val="23"/>
        </w:rPr>
        <w:t xml:space="preserve">, </w:t>
      </w:r>
      <w:r w:rsidR="007266A5">
        <w:rPr>
          <w:rFonts w:ascii="Arial" w:eastAsia="Arial" w:hAnsi="Arial" w:cs="Arial"/>
          <w:sz w:val="23"/>
          <w:szCs w:val="23"/>
        </w:rPr>
        <w:t>los de mínima cuantía</w:t>
      </w:r>
      <w:r w:rsidR="00912A3D">
        <w:rPr>
          <w:rFonts w:ascii="Arial" w:eastAsia="Arial" w:hAnsi="Arial" w:cs="Arial"/>
          <w:sz w:val="23"/>
          <w:szCs w:val="23"/>
        </w:rPr>
        <w:t xml:space="preserve"> mediante la Resolución </w:t>
      </w:r>
      <w:r w:rsidR="007214EE">
        <w:rPr>
          <w:rFonts w:ascii="Arial" w:eastAsia="Arial" w:hAnsi="Arial" w:cs="Arial"/>
          <w:sz w:val="23"/>
          <w:szCs w:val="23"/>
        </w:rPr>
        <w:t xml:space="preserve">094 </w:t>
      </w:r>
      <w:r w:rsidR="009A5FF9">
        <w:rPr>
          <w:rFonts w:ascii="Arial" w:eastAsia="Arial" w:hAnsi="Arial" w:cs="Arial"/>
          <w:sz w:val="23"/>
          <w:szCs w:val="23"/>
        </w:rPr>
        <w:t xml:space="preserve">del 21 de mayo de 2020 y </w:t>
      </w:r>
      <w:r w:rsidR="001839F5">
        <w:rPr>
          <w:rFonts w:ascii="Arial" w:eastAsia="Arial" w:hAnsi="Arial" w:cs="Arial"/>
          <w:sz w:val="23"/>
          <w:szCs w:val="23"/>
        </w:rPr>
        <w:t>los de interventoría de obra pública de infraestructura de transporte</w:t>
      </w:r>
      <w:r w:rsidR="002F34EC">
        <w:rPr>
          <w:rFonts w:ascii="Arial" w:eastAsia="Arial" w:hAnsi="Arial" w:cs="Arial"/>
          <w:sz w:val="23"/>
          <w:szCs w:val="23"/>
        </w:rPr>
        <w:t xml:space="preserve"> </w:t>
      </w:r>
      <w:r w:rsidR="001839F5">
        <w:rPr>
          <w:rFonts w:ascii="Arial" w:eastAsia="Arial" w:hAnsi="Arial" w:cs="Arial"/>
          <w:sz w:val="23"/>
          <w:szCs w:val="23"/>
        </w:rPr>
        <w:t xml:space="preserve">mediante la Resolución </w:t>
      </w:r>
      <w:r w:rsidR="005F796A">
        <w:rPr>
          <w:rFonts w:ascii="Arial" w:eastAsia="Arial" w:hAnsi="Arial" w:cs="Arial"/>
          <w:sz w:val="23"/>
          <w:szCs w:val="23"/>
        </w:rPr>
        <w:t xml:space="preserve">256 </w:t>
      </w:r>
      <w:r w:rsidR="001C7A66">
        <w:rPr>
          <w:rFonts w:ascii="Arial" w:eastAsia="Arial" w:hAnsi="Arial" w:cs="Arial"/>
          <w:sz w:val="23"/>
          <w:szCs w:val="23"/>
        </w:rPr>
        <w:t xml:space="preserve">del 11 de diciembre de 2020. </w:t>
      </w:r>
      <w:r w:rsidR="00A977E9" w:rsidRPr="6E5DAE3E">
        <w:rPr>
          <w:rFonts w:ascii="Arial" w:eastAsia="Arial" w:hAnsi="Arial" w:cs="Arial"/>
          <w:sz w:val="23"/>
          <w:szCs w:val="23"/>
        </w:rPr>
        <w:t>Asimismo</w:t>
      </w:r>
      <w:r w:rsidR="00C67955" w:rsidRPr="6E5DAE3E">
        <w:rPr>
          <w:rFonts w:ascii="Arial" w:eastAsia="Arial" w:hAnsi="Arial" w:cs="Arial"/>
          <w:sz w:val="23"/>
          <w:szCs w:val="23"/>
        </w:rPr>
        <w:t xml:space="preserve">, </w:t>
      </w:r>
      <w:r w:rsidR="5E229686" w:rsidRPr="6E5DAE3E">
        <w:rPr>
          <w:rFonts w:ascii="Arial" w:eastAsia="Arial" w:hAnsi="Arial" w:cs="Arial"/>
          <w:sz w:val="23"/>
          <w:szCs w:val="23"/>
        </w:rPr>
        <w:t xml:space="preserve">la Agencia </w:t>
      </w:r>
      <w:r w:rsidR="00A977E9" w:rsidRPr="6E5DAE3E">
        <w:rPr>
          <w:rFonts w:ascii="Arial" w:eastAsia="Arial" w:hAnsi="Arial" w:cs="Arial"/>
          <w:sz w:val="23"/>
          <w:szCs w:val="23"/>
        </w:rPr>
        <w:t>adopt</w:t>
      </w:r>
      <w:r w:rsidR="293B5D99" w:rsidRPr="6E5DAE3E">
        <w:rPr>
          <w:rFonts w:ascii="Arial" w:eastAsia="Arial" w:hAnsi="Arial" w:cs="Arial"/>
          <w:sz w:val="23"/>
          <w:szCs w:val="23"/>
        </w:rPr>
        <w:t>ó</w:t>
      </w:r>
      <w:r w:rsidR="00A977E9">
        <w:rPr>
          <w:rFonts w:ascii="Arial" w:eastAsia="Arial" w:hAnsi="Arial" w:cs="Arial"/>
          <w:sz w:val="23"/>
          <w:szCs w:val="23"/>
        </w:rPr>
        <w:t xml:space="preserve"> los documentos tipo para proyectos de obra pública del sector de agua potable y saneamiento básico, adelantados bajo la modalidad de licitación de obra pública mediante</w:t>
      </w:r>
      <w:r w:rsidR="003D5E67">
        <w:rPr>
          <w:rFonts w:ascii="Arial" w:eastAsia="Arial" w:hAnsi="Arial" w:cs="Arial"/>
          <w:sz w:val="23"/>
          <w:szCs w:val="23"/>
        </w:rPr>
        <w:t xml:space="preserve"> la Resolución 248 del 1 de diciembre de </w:t>
      </w:r>
      <w:r w:rsidR="00754D66">
        <w:rPr>
          <w:rFonts w:ascii="Arial" w:eastAsia="Arial" w:hAnsi="Arial" w:cs="Arial"/>
          <w:sz w:val="23"/>
          <w:szCs w:val="23"/>
        </w:rPr>
        <w:t>2020 y los de la modalidad de llave en mano</w:t>
      </w:r>
      <w:r w:rsidR="00F25B9C" w:rsidRPr="00DD1B72">
        <w:rPr>
          <w:rFonts w:ascii="Arial" w:eastAsia="Arial" w:hAnsi="Arial" w:cs="Arial"/>
          <w:sz w:val="23"/>
          <w:szCs w:val="23"/>
        </w:rPr>
        <w:t xml:space="preserve"> mediante la Resolución 249 del 1 de diciembre de 2020</w:t>
      </w:r>
      <w:r w:rsidR="00F25B9C">
        <w:rPr>
          <w:rFonts w:ascii="Arial" w:eastAsia="Arial" w:hAnsi="Arial" w:cs="Arial"/>
          <w:sz w:val="23"/>
          <w:szCs w:val="23"/>
        </w:rPr>
        <w:t xml:space="preserve">. </w:t>
      </w:r>
    </w:p>
    <w:p w14:paraId="7D46EB07" w14:textId="1ADBC215" w:rsidR="00FF7878" w:rsidRPr="00DD1B72" w:rsidRDefault="160F0EBA">
      <w:pPr>
        <w:pStyle w:val="Normal0"/>
        <w:spacing w:line="240" w:lineRule="auto"/>
        <w:jc w:val="both"/>
        <w:rPr>
          <w:rFonts w:ascii="Arial" w:eastAsia="Arial" w:hAnsi="Arial" w:cs="Arial"/>
          <w:sz w:val="23"/>
          <w:szCs w:val="23"/>
          <w:highlight w:val="yellow"/>
        </w:rPr>
      </w:pPr>
      <w:r w:rsidRPr="110B3B7E">
        <w:rPr>
          <w:rFonts w:ascii="Arial" w:eastAsia="Arial" w:hAnsi="Arial" w:cs="Arial"/>
          <w:sz w:val="23"/>
          <w:szCs w:val="23"/>
        </w:rPr>
        <w:t>De igual forma</w:t>
      </w:r>
      <w:r w:rsidR="00BE009A" w:rsidRPr="00DD1B72">
        <w:rPr>
          <w:rFonts w:ascii="Arial" w:eastAsia="Arial" w:hAnsi="Arial" w:cs="Arial"/>
          <w:sz w:val="23"/>
          <w:szCs w:val="23"/>
        </w:rPr>
        <w:t xml:space="preserve">, la Resolución 160 de 2020, </w:t>
      </w:r>
      <w:r w:rsidR="051630FE" w:rsidRPr="110B3B7E">
        <w:rPr>
          <w:rFonts w:ascii="Arial" w:eastAsia="Arial" w:hAnsi="Arial" w:cs="Arial"/>
          <w:sz w:val="23"/>
          <w:szCs w:val="23"/>
        </w:rPr>
        <w:t>que tien</w:t>
      </w:r>
      <w:r w:rsidR="40EB326D" w:rsidRPr="110B3B7E">
        <w:rPr>
          <w:rFonts w:ascii="Arial" w:eastAsia="Arial" w:hAnsi="Arial" w:cs="Arial"/>
          <w:sz w:val="23"/>
          <w:szCs w:val="23"/>
        </w:rPr>
        <w:t>e</w:t>
      </w:r>
      <w:r w:rsidR="051630FE" w:rsidRPr="110B3B7E">
        <w:rPr>
          <w:rFonts w:ascii="Arial" w:eastAsia="Arial" w:hAnsi="Arial" w:cs="Arial"/>
          <w:sz w:val="23"/>
          <w:szCs w:val="23"/>
        </w:rPr>
        <w:t xml:space="preserve"> por </w:t>
      </w:r>
      <w:r w:rsidR="00BE009A" w:rsidRPr="00DD1B72">
        <w:rPr>
          <w:rFonts w:ascii="Arial" w:eastAsia="Arial" w:hAnsi="Arial" w:cs="Arial"/>
          <w:sz w:val="23"/>
          <w:szCs w:val="23"/>
        </w:rPr>
        <w:t xml:space="preserve">objeto  adoptar el procedimiento para implementar los documentos tipo y definir el </w:t>
      </w:r>
      <w:r w:rsidR="7CE5A97A" w:rsidRPr="110B3B7E">
        <w:rPr>
          <w:rFonts w:ascii="Arial" w:eastAsia="Arial" w:hAnsi="Arial" w:cs="Arial"/>
          <w:sz w:val="23"/>
          <w:szCs w:val="23"/>
        </w:rPr>
        <w:t>mecanismo</w:t>
      </w:r>
      <w:r w:rsidR="00BE009A" w:rsidRPr="00DD1B72">
        <w:rPr>
          <w:rFonts w:ascii="Arial" w:eastAsia="Arial" w:hAnsi="Arial" w:cs="Arial"/>
          <w:sz w:val="23"/>
          <w:szCs w:val="23"/>
        </w:rPr>
        <w:t xml:space="preserve"> </w:t>
      </w:r>
      <w:r w:rsidR="7185A091" w:rsidRPr="110B3B7E">
        <w:rPr>
          <w:rFonts w:ascii="Arial" w:eastAsia="Arial" w:hAnsi="Arial" w:cs="Arial"/>
          <w:sz w:val="23"/>
          <w:szCs w:val="23"/>
        </w:rPr>
        <w:t>para</w:t>
      </w:r>
      <w:r w:rsidR="00BE009A" w:rsidRPr="110B3B7E">
        <w:rPr>
          <w:rFonts w:ascii="Arial" w:eastAsia="Arial" w:hAnsi="Arial" w:cs="Arial"/>
          <w:sz w:val="23"/>
          <w:szCs w:val="23"/>
        </w:rPr>
        <w:t xml:space="preserve"> </w:t>
      </w:r>
      <w:r w:rsidR="00BE009A" w:rsidRPr="00DD1B72">
        <w:rPr>
          <w:rFonts w:ascii="Arial" w:eastAsia="Arial" w:hAnsi="Arial" w:cs="Arial"/>
          <w:sz w:val="23"/>
          <w:szCs w:val="23"/>
        </w:rPr>
        <w:t xml:space="preserve">su revisión, en el artículo 11, </w:t>
      </w:r>
      <w:r w:rsidR="00BE009A" w:rsidRPr="110B3B7E">
        <w:rPr>
          <w:rFonts w:ascii="Arial" w:eastAsia="Arial" w:hAnsi="Arial" w:cs="Arial"/>
          <w:sz w:val="23"/>
          <w:szCs w:val="23"/>
        </w:rPr>
        <w:t>facult</w:t>
      </w:r>
      <w:r w:rsidR="2B4C7888" w:rsidRPr="110B3B7E">
        <w:rPr>
          <w:rFonts w:ascii="Arial" w:eastAsia="Arial" w:hAnsi="Arial" w:cs="Arial"/>
          <w:sz w:val="23"/>
          <w:szCs w:val="23"/>
        </w:rPr>
        <w:t>ó</w:t>
      </w:r>
      <w:r w:rsidR="00BE009A" w:rsidRPr="00DD1B72">
        <w:rPr>
          <w:rFonts w:ascii="Arial" w:eastAsia="Arial" w:hAnsi="Arial" w:cs="Arial"/>
          <w:sz w:val="23"/>
          <w:szCs w:val="23"/>
        </w:rPr>
        <w:t xml:space="preserve"> a la Agencia en cualquier momento, ante el cambio de circunstancias fácticas o jurídicas </w:t>
      </w:r>
      <w:r w:rsidR="2D80179F" w:rsidRPr="110B3B7E">
        <w:rPr>
          <w:rFonts w:ascii="Arial" w:eastAsia="Arial" w:hAnsi="Arial" w:cs="Arial"/>
          <w:sz w:val="23"/>
          <w:szCs w:val="23"/>
        </w:rPr>
        <w:t>que sirvieron de fundamento</w:t>
      </w:r>
      <w:r w:rsidR="00BE009A" w:rsidRPr="00DD1B72">
        <w:rPr>
          <w:rFonts w:ascii="Arial" w:eastAsia="Arial" w:hAnsi="Arial" w:cs="Arial"/>
          <w:sz w:val="23"/>
          <w:szCs w:val="23"/>
        </w:rPr>
        <w:t xml:space="preserve"> </w:t>
      </w:r>
      <w:r w:rsidR="0749D015" w:rsidRPr="110B3B7E">
        <w:rPr>
          <w:rFonts w:ascii="Arial" w:eastAsia="Arial" w:hAnsi="Arial" w:cs="Arial"/>
          <w:sz w:val="23"/>
          <w:szCs w:val="23"/>
        </w:rPr>
        <w:t>para</w:t>
      </w:r>
      <w:r w:rsidR="00BE009A" w:rsidRPr="110B3B7E">
        <w:rPr>
          <w:rFonts w:ascii="Arial" w:eastAsia="Arial" w:hAnsi="Arial" w:cs="Arial"/>
          <w:sz w:val="23"/>
          <w:szCs w:val="23"/>
        </w:rPr>
        <w:t xml:space="preserve"> adop</w:t>
      </w:r>
      <w:r w:rsidR="698FF768" w:rsidRPr="110B3B7E">
        <w:rPr>
          <w:rFonts w:ascii="Arial" w:eastAsia="Arial" w:hAnsi="Arial" w:cs="Arial"/>
          <w:sz w:val="23"/>
          <w:szCs w:val="23"/>
        </w:rPr>
        <w:t>tar</w:t>
      </w:r>
      <w:r w:rsidR="00BE009A" w:rsidRPr="00DD1B72">
        <w:rPr>
          <w:rFonts w:ascii="Arial" w:eastAsia="Arial" w:hAnsi="Arial" w:cs="Arial"/>
          <w:sz w:val="23"/>
          <w:szCs w:val="23"/>
        </w:rPr>
        <w:t xml:space="preserve"> los documentos tipo o la identificación de </w:t>
      </w:r>
      <w:r w:rsidR="3F037AB1" w:rsidRPr="110B3B7E">
        <w:rPr>
          <w:rFonts w:ascii="Arial" w:eastAsia="Arial" w:hAnsi="Arial" w:cs="Arial"/>
          <w:sz w:val="23"/>
          <w:szCs w:val="23"/>
        </w:rPr>
        <w:t>apartes o reglas que deban modificarse o ajustarse</w:t>
      </w:r>
      <w:r w:rsidR="00BE009A" w:rsidRPr="00DD1B72">
        <w:rPr>
          <w:rFonts w:ascii="Arial" w:eastAsia="Arial" w:hAnsi="Arial" w:cs="Arial"/>
          <w:sz w:val="23"/>
          <w:szCs w:val="23"/>
        </w:rPr>
        <w:t xml:space="preserve">, para proceder a realizar </w:t>
      </w:r>
      <w:r w:rsidR="3477E540" w:rsidRPr="110B3B7E">
        <w:rPr>
          <w:rFonts w:ascii="Arial" w:eastAsia="Arial" w:hAnsi="Arial" w:cs="Arial"/>
          <w:sz w:val="23"/>
          <w:szCs w:val="23"/>
        </w:rPr>
        <w:t>y adoptar dichos cambios</w:t>
      </w:r>
      <w:r w:rsidR="00BE009A" w:rsidRPr="00DD1B72">
        <w:rPr>
          <w:rFonts w:ascii="Arial" w:eastAsia="Arial" w:hAnsi="Arial" w:cs="Arial"/>
          <w:sz w:val="23"/>
          <w:szCs w:val="23"/>
        </w:rPr>
        <w:t xml:space="preserve"> mediante acto administrativo motivado</w:t>
      </w:r>
      <w:r w:rsidR="002F34EC">
        <w:rPr>
          <w:rFonts w:ascii="Arial" w:eastAsia="Arial" w:hAnsi="Arial" w:cs="Arial"/>
          <w:sz w:val="23"/>
          <w:szCs w:val="23"/>
        </w:rPr>
        <w:t>. En los pr</w:t>
      </w:r>
      <w:r w:rsidR="0096309E">
        <w:rPr>
          <w:rFonts w:ascii="Arial" w:eastAsia="Arial" w:hAnsi="Arial" w:cs="Arial"/>
          <w:sz w:val="23"/>
          <w:szCs w:val="23"/>
        </w:rPr>
        <w:t>ó</w:t>
      </w:r>
      <w:r w:rsidR="002F34EC">
        <w:rPr>
          <w:rFonts w:ascii="Arial" w:eastAsia="Arial" w:hAnsi="Arial" w:cs="Arial"/>
          <w:sz w:val="23"/>
          <w:szCs w:val="23"/>
        </w:rPr>
        <w:t>xi</w:t>
      </w:r>
      <w:r w:rsidR="0096309E">
        <w:rPr>
          <w:rFonts w:ascii="Arial" w:eastAsia="Arial" w:hAnsi="Arial" w:cs="Arial"/>
          <w:sz w:val="23"/>
          <w:szCs w:val="23"/>
        </w:rPr>
        <w:t>mos acápites</w:t>
      </w:r>
      <w:r w:rsidR="001F1A52">
        <w:rPr>
          <w:rFonts w:ascii="Arial" w:eastAsia="Arial" w:hAnsi="Arial" w:cs="Arial"/>
          <w:sz w:val="23"/>
          <w:szCs w:val="23"/>
        </w:rPr>
        <w:t xml:space="preserve"> se explicará la </w:t>
      </w:r>
      <w:r w:rsidR="00153E5A">
        <w:rPr>
          <w:rFonts w:ascii="Arial" w:eastAsia="Arial" w:hAnsi="Arial" w:cs="Arial"/>
          <w:sz w:val="23"/>
          <w:szCs w:val="23"/>
        </w:rPr>
        <w:t>necesidad de modificar los documentos tipo adoptados</w:t>
      </w:r>
      <w:r w:rsidR="006C7710">
        <w:rPr>
          <w:rFonts w:ascii="Arial" w:eastAsia="Arial" w:hAnsi="Arial" w:cs="Arial"/>
          <w:sz w:val="23"/>
          <w:szCs w:val="23"/>
        </w:rPr>
        <w:t>.</w:t>
      </w:r>
      <w:r w:rsidR="00153E5A">
        <w:rPr>
          <w:rFonts w:ascii="Arial" w:eastAsia="Arial" w:hAnsi="Arial" w:cs="Arial"/>
          <w:sz w:val="23"/>
          <w:szCs w:val="23"/>
        </w:rPr>
        <w:t xml:space="preserve"> </w:t>
      </w:r>
    </w:p>
    <w:p w14:paraId="0000000D" w14:textId="087A7E32" w:rsidR="008477E2" w:rsidRDefault="00204519">
      <w:pPr>
        <w:pStyle w:val="Normal0"/>
        <w:numPr>
          <w:ilvl w:val="0"/>
          <w:numId w:val="1"/>
        </w:numPr>
        <w:spacing w:after="0" w:line="240" w:lineRule="auto"/>
        <w:ind w:left="0" w:right="51" w:firstLine="0"/>
        <w:jc w:val="both"/>
        <w:rPr>
          <w:rFonts w:ascii="Arial" w:eastAsia="Arial" w:hAnsi="Arial" w:cs="Arial"/>
          <w:b/>
          <w:color w:val="000000"/>
          <w:sz w:val="23"/>
          <w:szCs w:val="23"/>
        </w:rPr>
      </w:pPr>
      <w:r>
        <w:rPr>
          <w:rFonts w:ascii="Arial" w:eastAsia="Arial" w:hAnsi="Arial" w:cs="Arial"/>
          <w:b/>
          <w:color w:val="000000"/>
          <w:sz w:val="23"/>
          <w:szCs w:val="23"/>
        </w:rPr>
        <w:t>Razones de oportunidad y conveniencia que justifican su expedición</w:t>
      </w:r>
    </w:p>
    <w:p w14:paraId="0000000E" w14:textId="77777777" w:rsidR="008477E2" w:rsidRDefault="008477E2">
      <w:pPr>
        <w:pStyle w:val="Normal0"/>
        <w:spacing w:after="0" w:line="240" w:lineRule="auto"/>
        <w:ind w:right="51"/>
        <w:jc w:val="both"/>
        <w:rPr>
          <w:rFonts w:ascii="Arial" w:eastAsia="Arial" w:hAnsi="Arial" w:cs="Arial"/>
          <w:b/>
          <w:color w:val="000000"/>
          <w:sz w:val="23"/>
          <w:szCs w:val="23"/>
        </w:rPr>
      </w:pPr>
    </w:p>
    <w:p w14:paraId="7BB69708" w14:textId="549846E3" w:rsidR="000F11C2" w:rsidRDefault="00204519" w:rsidP="00C64FAB">
      <w:pPr>
        <w:pStyle w:val="Normal0"/>
        <w:spacing w:after="0" w:line="240" w:lineRule="auto"/>
        <w:ind w:right="51"/>
        <w:jc w:val="both"/>
        <w:rPr>
          <w:rFonts w:ascii="Arial" w:eastAsia="Arial" w:hAnsi="Arial" w:cs="Arial"/>
          <w:sz w:val="23"/>
          <w:szCs w:val="23"/>
        </w:rPr>
      </w:pPr>
      <w:r w:rsidRPr="110B3B7E">
        <w:rPr>
          <w:rFonts w:ascii="Arial" w:eastAsia="Arial" w:hAnsi="Arial" w:cs="Arial"/>
          <w:color w:val="000000" w:themeColor="text1"/>
          <w:sz w:val="23"/>
          <w:szCs w:val="23"/>
        </w:rPr>
        <w:t xml:space="preserve">La Agencia Nacional de Contratación Pública – Colombia Compra Eficiente expone las razones que justifican </w:t>
      </w:r>
      <w:r w:rsidR="002F02B2" w:rsidRPr="110B3B7E">
        <w:rPr>
          <w:rFonts w:ascii="Arial" w:eastAsia="Arial" w:hAnsi="Arial" w:cs="Arial"/>
          <w:color w:val="000000" w:themeColor="text1"/>
          <w:sz w:val="23"/>
          <w:szCs w:val="23"/>
        </w:rPr>
        <w:t xml:space="preserve">la modificación a los documentos tipo </w:t>
      </w:r>
      <w:r w:rsidR="00464C29" w:rsidRPr="110B3B7E">
        <w:rPr>
          <w:rFonts w:ascii="Arial" w:eastAsia="Arial" w:hAnsi="Arial" w:cs="Arial"/>
          <w:color w:val="000000" w:themeColor="text1"/>
          <w:sz w:val="23"/>
          <w:szCs w:val="23"/>
        </w:rPr>
        <w:t xml:space="preserve">para proyectos de obra pública </w:t>
      </w:r>
      <w:r w:rsidR="002F02B2" w:rsidRPr="110B3B7E">
        <w:rPr>
          <w:rFonts w:ascii="Arial" w:eastAsia="Arial" w:hAnsi="Arial" w:cs="Arial"/>
          <w:color w:val="000000" w:themeColor="text1"/>
          <w:sz w:val="23"/>
          <w:szCs w:val="23"/>
        </w:rPr>
        <w:t xml:space="preserve">de </w:t>
      </w:r>
      <w:r w:rsidR="002F02B2" w:rsidRPr="110B3B7E">
        <w:rPr>
          <w:rFonts w:ascii="Arial" w:eastAsia="Arial" w:hAnsi="Arial" w:cs="Arial"/>
          <w:color w:val="000000" w:themeColor="text1"/>
          <w:sz w:val="23"/>
          <w:szCs w:val="23"/>
        </w:rPr>
        <w:lastRenderedPageBreak/>
        <w:t xml:space="preserve">infraestructura de transporte </w:t>
      </w:r>
      <w:r w:rsidR="00B513AD" w:rsidRPr="110B3B7E">
        <w:rPr>
          <w:rFonts w:ascii="Arial" w:eastAsia="Arial" w:hAnsi="Arial" w:cs="Arial"/>
          <w:color w:val="000000" w:themeColor="text1"/>
          <w:sz w:val="23"/>
          <w:szCs w:val="23"/>
        </w:rPr>
        <w:t>y los de obra pública de agua potable y saneamiento básico</w:t>
      </w:r>
      <w:r w:rsidR="004D5988" w:rsidRPr="110B3B7E">
        <w:rPr>
          <w:rFonts w:ascii="Arial" w:eastAsia="Arial" w:hAnsi="Arial" w:cs="Arial"/>
          <w:color w:val="000000" w:themeColor="text1"/>
          <w:sz w:val="23"/>
          <w:szCs w:val="23"/>
        </w:rPr>
        <w:t>. D</w:t>
      </w:r>
      <w:r w:rsidR="45D04BEE" w:rsidRPr="110B3B7E">
        <w:rPr>
          <w:rFonts w:ascii="Arial" w:eastAsia="Arial" w:hAnsi="Arial" w:cs="Arial"/>
          <w:color w:val="000000" w:themeColor="text1"/>
          <w:sz w:val="23"/>
          <w:szCs w:val="23"/>
        </w:rPr>
        <w:t>ichas razones se expondrán en el siguiente orden</w:t>
      </w:r>
      <w:r w:rsidR="004D5988" w:rsidRPr="110B3B7E">
        <w:rPr>
          <w:rFonts w:ascii="Arial" w:eastAsia="Arial" w:hAnsi="Arial" w:cs="Arial"/>
          <w:color w:val="000000" w:themeColor="text1"/>
          <w:sz w:val="23"/>
          <w:szCs w:val="23"/>
        </w:rPr>
        <w:t xml:space="preserve">: i) la modificación de los factores de desempate con fundamento en la expedición </w:t>
      </w:r>
      <w:r w:rsidR="008D5C4A" w:rsidRPr="110B3B7E">
        <w:rPr>
          <w:rFonts w:ascii="Arial" w:eastAsia="Arial" w:hAnsi="Arial" w:cs="Arial"/>
          <w:color w:val="000000" w:themeColor="text1"/>
          <w:sz w:val="23"/>
          <w:szCs w:val="23"/>
        </w:rPr>
        <w:t>de la Ley 2069 de 2020</w:t>
      </w:r>
      <w:r w:rsidR="000D11D2" w:rsidRPr="110B3B7E">
        <w:rPr>
          <w:rFonts w:ascii="Arial" w:eastAsia="Arial" w:hAnsi="Arial" w:cs="Arial"/>
          <w:color w:val="000000" w:themeColor="text1"/>
          <w:sz w:val="23"/>
          <w:szCs w:val="23"/>
        </w:rPr>
        <w:t>, y</w:t>
      </w:r>
      <w:r w:rsidR="000A1183" w:rsidRPr="110B3B7E">
        <w:rPr>
          <w:rFonts w:ascii="Arial" w:eastAsia="Arial" w:hAnsi="Arial" w:cs="Arial"/>
          <w:color w:val="000000" w:themeColor="text1"/>
          <w:sz w:val="23"/>
          <w:szCs w:val="23"/>
        </w:rPr>
        <w:t>,</w:t>
      </w:r>
      <w:r w:rsidR="000D11D2" w:rsidRPr="110B3B7E">
        <w:rPr>
          <w:rFonts w:ascii="Arial" w:eastAsia="Arial" w:hAnsi="Arial" w:cs="Arial"/>
          <w:color w:val="000000" w:themeColor="text1"/>
          <w:sz w:val="23"/>
          <w:szCs w:val="23"/>
        </w:rPr>
        <w:t xml:space="preserve"> en consecuencia, la importancia de </w:t>
      </w:r>
      <w:r w:rsidR="006C7710" w:rsidRPr="110B3B7E">
        <w:rPr>
          <w:rFonts w:ascii="Arial" w:eastAsia="Arial" w:hAnsi="Arial" w:cs="Arial"/>
          <w:color w:val="000000" w:themeColor="text1"/>
          <w:sz w:val="23"/>
          <w:szCs w:val="23"/>
        </w:rPr>
        <w:t>ajustar</w:t>
      </w:r>
      <w:r w:rsidR="00CD1B4B" w:rsidRPr="110B3B7E">
        <w:rPr>
          <w:rFonts w:ascii="Arial" w:eastAsia="Arial" w:hAnsi="Arial" w:cs="Arial"/>
          <w:color w:val="000000" w:themeColor="text1"/>
          <w:sz w:val="23"/>
          <w:szCs w:val="23"/>
        </w:rPr>
        <w:t xml:space="preserve"> la regulación de los factores de desempate</w:t>
      </w:r>
      <w:r w:rsidR="008D5C4A" w:rsidRPr="110B3B7E">
        <w:rPr>
          <w:rFonts w:ascii="Arial" w:eastAsia="Arial" w:hAnsi="Arial" w:cs="Arial"/>
          <w:color w:val="000000" w:themeColor="text1"/>
          <w:sz w:val="23"/>
          <w:szCs w:val="23"/>
        </w:rPr>
        <w:t xml:space="preserve">, ii) la </w:t>
      </w:r>
      <w:r w:rsidR="00B001E9" w:rsidRPr="110B3B7E">
        <w:rPr>
          <w:rFonts w:ascii="Arial" w:eastAsia="Arial" w:hAnsi="Arial" w:cs="Arial"/>
          <w:color w:val="000000" w:themeColor="text1"/>
          <w:sz w:val="23"/>
          <w:szCs w:val="23"/>
        </w:rPr>
        <w:t xml:space="preserve">necesidad </w:t>
      </w:r>
      <w:r w:rsidR="00C64FAB" w:rsidRPr="110B3B7E">
        <w:rPr>
          <w:rFonts w:ascii="Arial" w:eastAsia="Arial" w:hAnsi="Arial" w:cs="Arial"/>
          <w:color w:val="000000" w:themeColor="text1"/>
          <w:sz w:val="23"/>
          <w:szCs w:val="23"/>
        </w:rPr>
        <w:t>de modificar</w:t>
      </w:r>
      <w:r w:rsidR="008D5C4A" w:rsidRPr="110B3B7E">
        <w:rPr>
          <w:rFonts w:ascii="Arial" w:eastAsia="Arial" w:hAnsi="Arial" w:cs="Arial"/>
          <w:color w:val="000000" w:themeColor="text1"/>
          <w:sz w:val="23"/>
          <w:szCs w:val="23"/>
        </w:rPr>
        <w:t xml:space="preserve"> la </w:t>
      </w:r>
      <w:r w:rsidR="00C64FAB" w:rsidRPr="110B3B7E">
        <w:rPr>
          <w:rFonts w:ascii="Arial" w:eastAsia="Arial" w:hAnsi="Arial" w:cs="Arial"/>
          <w:color w:val="000000" w:themeColor="text1"/>
          <w:sz w:val="23"/>
          <w:szCs w:val="23"/>
        </w:rPr>
        <w:t>«</w:t>
      </w:r>
      <w:r w:rsidR="008D5C4A" w:rsidRPr="110B3B7E">
        <w:rPr>
          <w:rFonts w:ascii="Arial" w:eastAsia="Arial" w:hAnsi="Arial" w:cs="Arial"/>
          <w:color w:val="000000" w:themeColor="text1"/>
          <w:sz w:val="23"/>
          <w:szCs w:val="23"/>
        </w:rPr>
        <w:t>Matriz 1 – Experiencia</w:t>
      </w:r>
      <w:r w:rsidR="00C64FAB" w:rsidRPr="110B3B7E">
        <w:rPr>
          <w:rFonts w:ascii="Arial" w:eastAsia="Arial" w:hAnsi="Arial" w:cs="Arial"/>
          <w:color w:val="000000" w:themeColor="text1"/>
          <w:sz w:val="23"/>
          <w:szCs w:val="23"/>
        </w:rPr>
        <w:t>»</w:t>
      </w:r>
      <w:r w:rsidR="008D5C4A" w:rsidRPr="110B3B7E">
        <w:rPr>
          <w:rFonts w:ascii="Arial" w:eastAsia="Arial" w:hAnsi="Arial" w:cs="Arial"/>
          <w:color w:val="000000" w:themeColor="text1"/>
          <w:sz w:val="23"/>
          <w:szCs w:val="23"/>
        </w:rPr>
        <w:t xml:space="preserve"> y el </w:t>
      </w:r>
      <w:r w:rsidR="00C64FAB" w:rsidRPr="110B3B7E">
        <w:rPr>
          <w:rFonts w:ascii="Arial" w:eastAsia="Arial" w:hAnsi="Arial" w:cs="Arial"/>
          <w:color w:val="000000" w:themeColor="text1"/>
          <w:sz w:val="23"/>
          <w:szCs w:val="23"/>
        </w:rPr>
        <w:t>«</w:t>
      </w:r>
      <w:r w:rsidR="008D5C4A" w:rsidRPr="110B3B7E">
        <w:rPr>
          <w:rFonts w:ascii="Arial" w:eastAsia="Arial" w:hAnsi="Arial" w:cs="Arial"/>
          <w:color w:val="000000" w:themeColor="text1"/>
          <w:sz w:val="23"/>
          <w:szCs w:val="23"/>
        </w:rPr>
        <w:t>Anexo 3 – Glosario</w:t>
      </w:r>
      <w:r w:rsidR="00C64FAB" w:rsidRPr="110B3B7E">
        <w:rPr>
          <w:rFonts w:ascii="Arial" w:eastAsia="Arial" w:hAnsi="Arial" w:cs="Arial"/>
          <w:color w:val="000000" w:themeColor="text1"/>
          <w:sz w:val="23"/>
          <w:szCs w:val="23"/>
        </w:rPr>
        <w:t xml:space="preserve">» para garantizar la idoneidad del </w:t>
      </w:r>
      <w:r w:rsidR="0061343C" w:rsidRPr="110B3B7E">
        <w:rPr>
          <w:rFonts w:ascii="Arial" w:eastAsia="Arial" w:hAnsi="Arial" w:cs="Arial"/>
          <w:color w:val="000000" w:themeColor="text1"/>
          <w:sz w:val="23"/>
          <w:szCs w:val="23"/>
        </w:rPr>
        <w:t xml:space="preserve">futuro </w:t>
      </w:r>
      <w:r w:rsidR="00C64FAB" w:rsidRPr="110B3B7E">
        <w:rPr>
          <w:rFonts w:ascii="Arial" w:eastAsia="Arial" w:hAnsi="Arial" w:cs="Arial"/>
          <w:color w:val="000000" w:themeColor="text1"/>
          <w:sz w:val="23"/>
          <w:szCs w:val="23"/>
        </w:rPr>
        <w:t xml:space="preserve">contratista </w:t>
      </w:r>
      <w:r w:rsidR="008D5C4A" w:rsidRPr="110B3B7E">
        <w:rPr>
          <w:rFonts w:ascii="Arial" w:eastAsia="Arial" w:hAnsi="Arial" w:cs="Arial"/>
          <w:color w:val="000000" w:themeColor="text1"/>
          <w:sz w:val="23"/>
          <w:szCs w:val="23"/>
        </w:rPr>
        <w:t>y</w:t>
      </w:r>
      <w:r w:rsidR="00C64FAB" w:rsidRPr="110B3B7E">
        <w:rPr>
          <w:rFonts w:ascii="Arial" w:eastAsia="Arial" w:hAnsi="Arial" w:cs="Arial"/>
          <w:color w:val="000000" w:themeColor="text1"/>
          <w:sz w:val="23"/>
          <w:szCs w:val="23"/>
        </w:rPr>
        <w:t xml:space="preserve"> </w:t>
      </w:r>
      <w:r w:rsidR="008D5C4A" w:rsidRPr="110B3B7E">
        <w:rPr>
          <w:rFonts w:ascii="Arial" w:eastAsia="Arial" w:hAnsi="Arial" w:cs="Arial"/>
          <w:color w:val="000000" w:themeColor="text1"/>
          <w:sz w:val="23"/>
          <w:szCs w:val="23"/>
        </w:rPr>
        <w:t xml:space="preserve">iii) </w:t>
      </w:r>
      <w:r w:rsidR="00C64FAB" w:rsidRPr="110B3B7E">
        <w:rPr>
          <w:rFonts w:ascii="Arial" w:eastAsia="Arial" w:hAnsi="Arial" w:cs="Arial"/>
          <w:color w:val="000000" w:themeColor="text1"/>
          <w:sz w:val="23"/>
          <w:szCs w:val="23"/>
        </w:rPr>
        <w:t>la revisión de la experiencia relacionada con los subcontratistas</w:t>
      </w:r>
      <w:r w:rsidR="72244C68" w:rsidRPr="110B3B7E">
        <w:rPr>
          <w:rFonts w:ascii="Arial" w:eastAsia="Arial" w:hAnsi="Arial" w:cs="Arial"/>
          <w:color w:val="000000" w:themeColor="text1"/>
          <w:sz w:val="23"/>
          <w:szCs w:val="23"/>
        </w:rPr>
        <w:t xml:space="preserve">, particularmente </w:t>
      </w:r>
      <w:r w:rsidR="00CD1B4B" w:rsidRPr="110B3B7E">
        <w:rPr>
          <w:rFonts w:ascii="Arial" w:eastAsia="Arial" w:hAnsi="Arial" w:cs="Arial"/>
          <w:color w:val="000000" w:themeColor="text1"/>
          <w:sz w:val="23"/>
          <w:szCs w:val="23"/>
        </w:rPr>
        <w:t>en los proyectos de concesiones.</w:t>
      </w:r>
    </w:p>
    <w:p w14:paraId="00000010" w14:textId="004C6903" w:rsidR="008477E2" w:rsidRDefault="008477E2">
      <w:pPr>
        <w:pStyle w:val="Normal0"/>
        <w:spacing w:after="0" w:line="240" w:lineRule="auto"/>
        <w:ind w:right="51"/>
        <w:jc w:val="both"/>
        <w:rPr>
          <w:rFonts w:ascii="Arial" w:eastAsia="Arial" w:hAnsi="Arial" w:cs="Arial"/>
          <w:color w:val="000000"/>
          <w:sz w:val="23"/>
          <w:szCs w:val="23"/>
        </w:rPr>
      </w:pPr>
    </w:p>
    <w:p w14:paraId="01B7BF32" w14:textId="30033E0E" w:rsidR="000A7C98" w:rsidRDefault="00204519" w:rsidP="00DD1B72">
      <w:pPr>
        <w:pStyle w:val="Normal0"/>
        <w:spacing w:after="0" w:line="240" w:lineRule="auto"/>
        <w:ind w:right="51"/>
        <w:jc w:val="both"/>
        <w:outlineLvl w:val="1"/>
        <w:rPr>
          <w:rFonts w:ascii="Arial" w:eastAsia="Arial" w:hAnsi="Arial" w:cs="Arial"/>
          <w:b/>
          <w:color w:val="000000"/>
          <w:sz w:val="23"/>
          <w:szCs w:val="23"/>
        </w:rPr>
      </w:pPr>
      <w:r>
        <w:rPr>
          <w:rFonts w:ascii="Arial" w:eastAsia="Arial" w:hAnsi="Arial" w:cs="Arial"/>
          <w:b/>
          <w:color w:val="000000"/>
          <w:sz w:val="23"/>
          <w:szCs w:val="23"/>
        </w:rPr>
        <w:t xml:space="preserve">2.1. </w:t>
      </w:r>
      <w:r w:rsidR="000A7C98">
        <w:rPr>
          <w:rFonts w:ascii="Arial" w:eastAsia="Arial" w:hAnsi="Arial" w:cs="Arial"/>
          <w:b/>
          <w:color w:val="000000"/>
          <w:sz w:val="23"/>
          <w:szCs w:val="23"/>
        </w:rPr>
        <w:t xml:space="preserve">Modificación factores de desempate – Documentos tipo adoptados por la Agencia Nacional de Contratación Pública </w:t>
      </w:r>
    </w:p>
    <w:p w14:paraId="22F13FF6" w14:textId="77777777" w:rsidR="00A42981" w:rsidRPr="00DD1B72" w:rsidRDefault="00A42981" w:rsidP="00DD1B72">
      <w:pPr>
        <w:pStyle w:val="Normal0"/>
        <w:spacing w:after="0"/>
        <w:ind w:right="51"/>
        <w:jc w:val="both"/>
        <w:rPr>
          <w:rFonts w:ascii="Arial" w:eastAsia="Arial" w:hAnsi="Arial" w:cs="Arial"/>
          <w:bCs/>
          <w:color w:val="000000"/>
          <w:sz w:val="23"/>
          <w:szCs w:val="23"/>
        </w:rPr>
      </w:pPr>
    </w:p>
    <w:p w14:paraId="086467B7" w14:textId="46DE25EB" w:rsidR="00575DBC" w:rsidRPr="00DD1B72" w:rsidRDefault="00B73D79" w:rsidP="00DD1B72">
      <w:pPr>
        <w:pStyle w:val="Normal0"/>
        <w:spacing w:after="0"/>
        <w:jc w:val="both"/>
        <w:rPr>
          <w:rFonts w:ascii="Arial" w:eastAsia="Arial" w:hAnsi="Arial" w:cs="Arial"/>
          <w:color w:val="000000"/>
          <w:sz w:val="23"/>
          <w:szCs w:val="23"/>
        </w:rPr>
      </w:pPr>
      <w:r w:rsidRPr="110B3B7E">
        <w:rPr>
          <w:rFonts w:ascii="Arial" w:eastAsia="Arial" w:hAnsi="Arial" w:cs="Arial"/>
          <w:color w:val="000000" w:themeColor="text1"/>
          <w:sz w:val="23"/>
          <w:szCs w:val="23"/>
        </w:rPr>
        <w:t xml:space="preserve">En este acápite </w:t>
      </w:r>
      <w:r w:rsidR="00A42981" w:rsidRPr="110B3B7E">
        <w:rPr>
          <w:rFonts w:ascii="Arial" w:eastAsia="Arial" w:hAnsi="Arial" w:cs="Arial"/>
          <w:color w:val="000000" w:themeColor="text1"/>
          <w:sz w:val="23"/>
          <w:szCs w:val="23"/>
        </w:rPr>
        <w:t>se explicará lo concerniente a: i) la expedición de la Ley 2069 de 2020 y su ámbito de aplicación; ii) la importancia del principio de selección objetiva y factores de desempate en la contratación estatal; y iii) la derogatoria del artículo 2.2.1.1.2.2.9 del Decreto 1082 de 2015, producida por el artículo 35 de la Ley 2069 de 2020.</w:t>
      </w:r>
      <w:r w:rsidR="00097B8F" w:rsidRPr="110B3B7E">
        <w:rPr>
          <w:rFonts w:ascii="Arial" w:eastAsia="Arial" w:hAnsi="Arial" w:cs="Arial"/>
          <w:color w:val="000000" w:themeColor="text1"/>
          <w:sz w:val="23"/>
          <w:szCs w:val="23"/>
        </w:rPr>
        <w:t xml:space="preserve"> </w:t>
      </w:r>
      <w:r w:rsidR="3D5B6F1B" w:rsidRPr="110B3B7E">
        <w:rPr>
          <w:rFonts w:ascii="Arial" w:eastAsia="Arial" w:hAnsi="Arial" w:cs="Arial"/>
          <w:color w:val="000000" w:themeColor="text1"/>
          <w:sz w:val="23"/>
          <w:szCs w:val="23"/>
        </w:rPr>
        <w:t>Lo anterior con miras a</w:t>
      </w:r>
      <w:r w:rsidR="00097B8F" w:rsidRPr="110B3B7E">
        <w:rPr>
          <w:rFonts w:ascii="Arial" w:eastAsia="Arial" w:hAnsi="Arial" w:cs="Arial"/>
          <w:color w:val="000000" w:themeColor="text1"/>
          <w:sz w:val="23"/>
          <w:szCs w:val="23"/>
        </w:rPr>
        <w:t xml:space="preserve"> explicar la necesidad de </w:t>
      </w:r>
      <w:r w:rsidR="04E3F9CA" w:rsidRPr="110B3B7E">
        <w:rPr>
          <w:rFonts w:ascii="Arial" w:eastAsia="Arial" w:hAnsi="Arial" w:cs="Arial"/>
          <w:color w:val="000000" w:themeColor="text1"/>
          <w:sz w:val="23"/>
          <w:szCs w:val="23"/>
        </w:rPr>
        <w:t>modificar</w:t>
      </w:r>
      <w:r w:rsidR="00097B8F" w:rsidRPr="110B3B7E">
        <w:rPr>
          <w:rFonts w:ascii="Arial" w:eastAsia="Arial" w:hAnsi="Arial" w:cs="Arial"/>
          <w:color w:val="000000" w:themeColor="text1"/>
          <w:sz w:val="23"/>
          <w:szCs w:val="23"/>
        </w:rPr>
        <w:t xml:space="preserve"> </w:t>
      </w:r>
      <w:r w:rsidR="79BC6BB7" w:rsidRPr="110B3B7E">
        <w:rPr>
          <w:rFonts w:ascii="Arial" w:eastAsia="Arial" w:hAnsi="Arial" w:cs="Arial"/>
          <w:color w:val="000000" w:themeColor="text1"/>
          <w:sz w:val="23"/>
          <w:szCs w:val="23"/>
        </w:rPr>
        <w:t>los documentos tipo mencionados, en</w:t>
      </w:r>
      <w:r w:rsidR="00097B8F" w:rsidRPr="110B3B7E">
        <w:rPr>
          <w:rFonts w:ascii="Arial" w:eastAsia="Arial" w:hAnsi="Arial" w:cs="Arial"/>
          <w:color w:val="000000" w:themeColor="text1"/>
          <w:sz w:val="23"/>
          <w:szCs w:val="23"/>
        </w:rPr>
        <w:t xml:space="preserve"> </w:t>
      </w:r>
      <w:r w:rsidR="006F2858" w:rsidRPr="110B3B7E">
        <w:rPr>
          <w:rFonts w:ascii="Arial" w:eastAsia="Arial" w:hAnsi="Arial" w:cs="Arial"/>
          <w:color w:val="000000" w:themeColor="text1"/>
          <w:sz w:val="23"/>
          <w:szCs w:val="23"/>
        </w:rPr>
        <w:t>el acápite referido a</w:t>
      </w:r>
      <w:r w:rsidR="00097B8F" w:rsidRPr="110B3B7E">
        <w:rPr>
          <w:rFonts w:ascii="Arial" w:eastAsia="Arial" w:hAnsi="Arial" w:cs="Arial"/>
          <w:color w:val="000000" w:themeColor="text1"/>
          <w:sz w:val="23"/>
          <w:szCs w:val="23"/>
        </w:rPr>
        <w:t xml:space="preserve"> los factores de desempate </w:t>
      </w:r>
      <w:r w:rsidR="46D36311" w:rsidRPr="110B3B7E">
        <w:rPr>
          <w:rFonts w:ascii="Arial" w:eastAsia="Arial" w:hAnsi="Arial" w:cs="Arial"/>
          <w:color w:val="000000" w:themeColor="text1"/>
          <w:sz w:val="23"/>
          <w:szCs w:val="23"/>
        </w:rPr>
        <w:t>que tienen como finalidad lograr la selección objetiva del contratista</w:t>
      </w:r>
      <w:r w:rsidR="006F2858" w:rsidRPr="110B3B7E">
        <w:rPr>
          <w:rFonts w:ascii="Arial" w:eastAsia="Arial" w:hAnsi="Arial" w:cs="Arial"/>
          <w:color w:val="000000" w:themeColor="text1"/>
          <w:sz w:val="23"/>
          <w:szCs w:val="23"/>
        </w:rPr>
        <w:t xml:space="preserve">. </w:t>
      </w:r>
    </w:p>
    <w:p w14:paraId="00130A17" w14:textId="77777777" w:rsidR="00575DBC" w:rsidRDefault="00575DBC">
      <w:pPr>
        <w:pStyle w:val="Normal0"/>
        <w:spacing w:after="0" w:line="240" w:lineRule="auto"/>
        <w:ind w:right="51"/>
        <w:jc w:val="both"/>
        <w:rPr>
          <w:rFonts w:ascii="Arial" w:eastAsia="Arial" w:hAnsi="Arial" w:cs="Arial"/>
          <w:b/>
          <w:color w:val="000000"/>
          <w:sz w:val="23"/>
          <w:szCs w:val="23"/>
        </w:rPr>
      </w:pPr>
    </w:p>
    <w:p w14:paraId="00000011" w14:textId="53D0C140" w:rsidR="008477E2" w:rsidRDefault="000A7C98" w:rsidP="00DD1B72">
      <w:pPr>
        <w:pStyle w:val="Normal0"/>
        <w:spacing w:after="0" w:line="240" w:lineRule="auto"/>
        <w:ind w:right="51"/>
        <w:jc w:val="both"/>
        <w:outlineLvl w:val="2"/>
        <w:rPr>
          <w:rFonts w:ascii="Arial" w:eastAsia="Arial" w:hAnsi="Arial" w:cs="Arial"/>
          <w:b/>
          <w:color w:val="000000"/>
          <w:sz w:val="23"/>
          <w:szCs w:val="23"/>
        </w:rPr>
      </w:pPr>
      <w:r>
        <w:rPr>
          <w:rFonts w:ascii="Arial" w:eastAsia="Arial" w:hAnsi="Arial" w:cs="Arial"/>
          <w:b/>
          <w:sz w:val="23"/>
          <w:szCs w:val="23"/>
        </w:rPr>
        <w:t xml:space="preserve">2.1.1 </w:t>
      </w:r>
      <w:r w:rsidR="00204519">
        <w:rPr>
          <w:rFonts w:ascii="Arial" w:eastAsia="Arial" w:hAnsi="Arial" w:cs="Arial"/>
          <w:b/>
          <w:sz w:val="23"/>
          <w:szCs w:val="23"/>
        </w:rPr>
        <w:t xml:space="preserve">Expedición de la </w:t>
      </w:r>
      <w:r w:rsidR="00204519">
        <w:rPr>
          <w:rFonts w:ascii="Arial" w:eastAsia="Arial" w:hAnsi="Arial" w:cs="Arial"/>
          <w:b/>
          <w:color w:val="000000"/>
          <w:sz w:val="23"/>
          <w:szCs w:val="23"/>
        </w:rPr>
        <w:t>Ley 2069 de 2020</w:t>
      </w:r>
      <w:r w:rsidR="00204519">
        <w:rPr>
          <w:rFonts w:ascii="Arial" w:eastAsia="Arial" w:hAnsi="Arial" w:cs="Arial"/>
          <w:b/>
          <w:sz w:val="23"/>
          <w:szCs w:val="23"/>
        </w:rPr>
        <w:t xml:space="preserve"> y su ámbito de aplicación</w:t>
      </w:r>
    </w:p>
    <w:p w14:paraId="00000012" w14:textId="77777777" w:rsidR="008477E2" w:rsidRDefault="008477E2">
      <w:pPr>
        <w:pStyle w:val="Normal0"/>
        <w:spacing w:after="0" w:line="240" w:lineRule="auto"/>
        <w:ind w:right="51"/>
        <w:jc w:val="both"/>
        <w:rPr>
          <w:rFonts w:ascii="Arial" w:eastAsia="Arial" w:hAnsi="Arial" w:cs="Arial"/>
          <w:b/>
          <w:color w:val="000000"/>
          <w:sz w:val="23"/>
          <w:szCs w:val="23"/>
        </w:rPr>
      </w:pPr>
    </w:p>
    <w:p w14:paraId="00000013" w14:textId="285CEF65" w:rsidR="008477E2" w:rsidRDefault="7B74DFF2">
      <w:pPr>
        <w:pStyle w:val="Normal0"/>
        <w:spacing w:after="0" w:line="240" w:lineRule="auto"/>
        <w:ind w:right="51"/>
        <w:jc w:val="both"/>
        <w:rPr>
          <w:rFonts w:ascii="Arial" w:eastAsia="Arial" w:hAnsi="Arial" w:cs="Arial"/>
          <w:sz w:val="23"/>
          <w:szCs w:val="23"/>
        </w:rPr>
      </w:pPr>
      <w:r>
        <w:rPr>
          <w:rFonts w:ascii="Arial" w:eastAsia="Arial" w:hAnsi="Arial" w:cs="Arial"/>
          <w:color w:val="000000"/>
          <w:sz w:val="23"/>
          <w:szCs w:val="23"/>
        </w:rPr>
        <w:t>E</w:t>
      </w:r>
      <w:r>
        <w:rPr>
          <w:rFonts w:ascii="Arial" w:eastAsia="Arial" w:hAnsi="Arial" w:cs="Arial"/>
          <w:sz w:val="23"/>
          <w:szCs w:val="23"/>
        </w:rPr>
        <w:t>l pasado</w:t>
      </w:r>
      <w:r>
        <w:rPr>
          <w:rFonts w:ascii="Arial" w:eastAsia="Arial" w:hAnsi="Arial" w:cs="Arial"/>
          <w:color w:val="000000"/>
          <w:sz w:val="23"/>
          <w:szCs w:val="23"/>
        </w:rPr>
        <w:t xml:space="preserve"> 31 de diciembre de 2020</w:t>
      </w:r>
      <w:r w:rsidR="2625D5AA">
        <w:rPr>
          <w:rFonts w:ascii="Arial" w:eastAsia="Arial" w:hAnsi="Arial" w:cs="Arial"/>
          <w:color w:val="000000"/>
          <w:sz w:val="23"/>
          <w:szCs w:val="23"/>
        </w:rPr>
        <w:t>, el Congreso de la República</w:t>
      </w:r>
      <w:r>
        <w:rPr>
          <w:rFonts w:ascii="Arial" w:eastAsia="Arial" w:hAnsi="Arial" w:cs="Arial"/>
          <w:color w:val="000000"/>
          <w:sz w:val="23"/>
          <w:szCs w:val="23"/>
        </w:rPr>
        <w:t xml:space="preserve"> </w:t>
      </w:r>
      <w:r>
        <w:rPr>
          <w:rFonts w:ascii="Arial" w:eastAsia="Arial" w:hAnsi="Arial" w:cs="Arial"/>
          <w:sz w:val="23"/>
          <w:szCs w:val="23"/>
        </w:rPr>
        <w:t>expidió</w:t>
      </w:r>
      <w:r>
        <w:rPr>
          <w:rFonts w:ascii="Arial" w:eastAsia="Arial" w:hAnsi="Arial" w:cs="Arial"/>
          <w:color w:val="000000"/>
          <w:sz w:val="23"/>
          <w:szCs w:val="23"/>
        </w:rPr>
        <w:t xml:space="preserve"> la </w:t>
      </w:r>
      <w:r w:rsidR="37A835F7">
        <w:rPr>
          <w:rFonts w:ascii="Arial" w:eastAsia="Arial" w:hAnsi="Arial" w:cs="Arial"/>
          <w:color w:val="000000"/>
          <w:sz w:val="23"/>
          <w:szCs w:val="23"/>
        </w:rPr>
        <w:t>denominada</w:t>
      </w:r>
      <w:r>
        <w:rPr>
          <w:rFonts w:ascii="Arial" w:eastAsia="Arial" w:hAnsi="Arial" w:cs="Arial"/>
          <w:color w:val="000000"/>
          <w:sz w:val="23"/>
          <w:szCs w:val="23"/>
        </w:rPr>
        <w:t xml:space="preserve"> –Ley de Emprendimiento– Ley 2069, «Por medio de la cual se impulsa el emprendimiento en Colombia». </w:t>
      </w:r>
      <w:r>
        <w:rPr>
          <w:rFonts w:ascii="Arial" w:eastAsia="Arial" w:hAnsi="Arial" w:cs="Arial"/>
          <w:sz w:val="23"/>
          <w:szCs w:val="23"/>
        </w:rPr>
        <w:t>Esta ley tiene por objeto «establecer un marco regulatorio que propicie el emprendimiento y el crecimiento, consolidación y sostenibilidad de las empresas, con el fin de aumentar el bienestar social y generar equidad»</w:t>
      </w:r>
      <w:r w:rsidR="00204519">
        <w:rPr>
          <w:rFonts w:ascii="Arial" w:eastAsia="Arial" w:hAnsi="Arial" w:cs="Arial"/>
          <w:sz w:val="23"/>
          <w:szCs w:val="23"/>
          <w:vertAlign w:val="superscript"/>
        </w:rPr>
        <w:footnoteReference w:id="2"/>
      </w:r>
      <w:r>
        <w:rPr>
          <w:rFonts w:ascii="Arial" w:eastAsia="Arial" w:hAnsi="Arial" w:cs="Arial"/>
          <w:sz w:val="23"/>
          <w:szCs w:val="23"/>
        </w:rPr>
        <w:t xml:space="preserve">. </w:t>
      </w:r>
      <w:r w:rsidR="7C25DA1B">
        <w:rPr>
          <w:rFonts w:ascii="Arial" w:eastAsia="Arial" w:hAnsi="Arial" w:cs="Arial"/>
          <w:sz w:val="23"/>
          <w:szCs w:val="23"/>
        </w:rPr>
        <w:t>Dicha Ley</w:t>
      </w:r>
      <w:r w:rsidR="4398FB52">
        <w:rPr>
          <w:rFonts w:ascii="Arial" w:eastAsia="Arial" w:hAnsi="Arial" w:cs="Arial"/>
          <w:sz w:val="23"/>
          <w:szCs w:val="23"/>
        </w:rPr>
        <w:t xml:space="preserve"> plantea</w:t>
      </w:r>
      <w:r>
        <w:rPr>
          <w:rFonts w:ascii="Arial" w:eastAsia="Arial" w:hAnsi="Arial" w:cs="Arial"/>
          <w:sz w:val="23"/>
          <w:szCs w:val="23"/>
        </w:rPr>
        <w:t xml:space="preserve"> «un enfoque regionalizado </w:t>
      </w:r>
      <w:proofErr w:type="gramStart"/>
      <w:r>
        <w:rPr>
          <w:rFonts w:ascii="Arial" w:eastAsia="Arial" w:hAnsi="Arial" w:cs="Arial"/>
          <w:sz w:val="23"/>
          <w:szCs w:val="23"/>
        </w:rPr>
        <w:t>de acuerdo a</w:t>
      </w:r>
      <w:proofErr w:type="gramEnd"/>
      <w:r>
        <w:rPr>
          <w:rFonts w:ascii="Arial" w:eastAsia="Arial" w:hAnsi="Arial" w:cs="Arial"/>
          <w:sz w:val="23"/>
          <w:szCs w:val="23"/>
        </w:rPr>
        <w:t xml:space="preserve"> las realidades socioeconómicas de cada región». En desarrollo de esta finalidad, se establecen medidas de apoyo para las micro, pequeñas y medianas empresas –mipymes–, mediante la racionalización y simplificación de los trámites y tarifas</w:t>
      </w:r>
      <w:r w:rsidR="00204519">
        <w:rPr>
          <w:rFonts w:ascii="Arial" w:eastAsia="Arial" w:hAnsi="Arial" w:cs="Arial"/>
          <w:sz w:val="23"/>
          <w:szCs w:val="23"/>
          <w:vertAlign w:val="superscript"/>
        </w:rPr>
        <w:footnoteReference w:id="3"/>
      </w:r>
      <w:r>
        <w:rPr>
          <w:rFonts w:ascii="Arial" w:eastAsia="Arial" w:hAnsi="Arial" w:cs="Arial"/>
          <w:sz w:val="23"/>
          <w:szCs w:val="23"/>
        </w:rPr>
        <w:t>, así como incentivos a favor de aquellas dentro del sistema de compras y contratación pública</w:t>
      </w:r>
      <w:r w:rsidR="00204519">
        <w:rPr>
          <w:rFonts w:ascii="Arial" w:eastAsia="Arial" w:hAnsi="Arial" w:cs="Arial"/>
          <w:sz w:val="23"/>
          <w:szCs w:val="23"/>
          <w:vertAlign w:val="superscript"/>
        </w:rPr>
        <w:footnoteReference w:id="4"/>
      </w:r>
      <w:r>
        <w:rPr>
          <w:rFonts w:ascii="Arial" w:eastAsia="Arial" w:hAnsi="Arial" w:cs="Arial"/>
          <w:sz w:val="23"/>
          <w:szCs w:val="23"/>
        </w:rPr>
        <w:t xml:space="preserve">. </w:t>
      </w:r>
      <w:r w:rsidR="44025C61">
        <w:rPr>
          <w:rFonts w:ascii="Arial" w:eastAsia="Arial" w:hAnsi="Arial" w:cs="Arial"/>
          <w:sz w:val="23"/>
          <w:szCs w:val="23"/>
        </w:rPr>
        <w:t>De igual forma,</w:t>
      </w:r>
      <w:r>
        <w:rPr>
          <w:rFonts w:ascii="Arial" w:eastAsia="Arial" w:hAnsi="Arial" w:cs="Arial"/>
          <w:sz w:val="23"/>
          <w:szCs w:val="23"/>
        </w:rPr>
        <w:t xml:space="preserve"> se consagran mecanismos de acceso al financiamiento</w:t>
      </w:r>
      <w:r w:rsidR="00204519">
        <w:rPr>
          <w:rFonts w:ascii="Arial" w:eastAsia="Arial" w:hAnsi="Arial" w:cs="Arial"/>
          <w:sz w:val="23"/>
          <w:szCs w:val="23"/>
          <w:vertAlign w:val="superscript"/>
        </w:rPr>
        <w:footnoteReference w:id="5"/>
      </w:r>
      <w:r>
        <w:rPr>
          <w:rFonts w:ascii="Arial" w:eastAsia="Arial" w:hAnsi="Arial" w:cs="Arial"/>
          <w:sz w:val="23"/>
          <w:szCs w:val="23"/>
        </w:rPr>
        <w:t xml:space="preserve">, se unifican las fuentes de </w:t>
      </w:r>
      <w:r>
        <w:rPr>
          <w:rFonts w:ascii="Arial" w:eastAsia="Arial" w:hAnsi="Arial" w:cs="Arial"/>
          <w:sz w:val="23"/>
          <w:szCs w:val="23"/>
        </w:rPr>
        <w:lastRenderedPageBreak/>
        <w:t>emprendimiento y de desarrollo empresarial, para fortalecer y promover los distintos sectores de la economía</w:t>
      </w:r>
      <w:r w:rsidR="00204519">
        <w:rPr>
          <w:rFonts w:ascii="Arial" w:eastAsia="Arial" w:hAnsi="Arial" w:cs="Arial"/>
          <w:sz w:val="23"/>
          <w:szCs w:val="23"/>
          <w:vertAlign w:val="superscript"/>
        </w:rPr>
        <w:footnoteReference w:id="6"/>
      </w:r>
      <w:r>
        <w:rPr>
          <w:rFonts w:ascii="Arial" w:eastAsia="Arial" w:hAnsi="Arial" w:cs="Arial"/>
          <w:sz w:val="23"/>
          <w:szCs w:val="23"/>
        </w:rPr>
        <w:t xml:space="preserve"> y se prevén medidas de educación para el emprendimiento y la innovación</w:t>
      </w:r>
      <w:r w:rsidR="00204519">
        <w:rPr>
          <w:rFonts w:ascii="Arial" w:eastAsia="Arial" w:hAnsi="Arial" w:cs="Arial"/>
          <w:sz w:val="23"/>
          <w:szCs w:val="23"/>
          <w:vertAlign w:val="superscript"/>
        </w:rPr>
        <w:footnoteReference w:id="7"/>
      </w:r>
      <w:r>
        <w:rPr>
          <w:rFonts w:ascii="Arial" w:eastAsia="Arial" w:hAnsi="Arial" w:cs="Arial"/>
          <w:sz w:val="23"/>
          <w:szCs w:val="23"/>
        </w:rPr>
        <w:t>.</w:t>
      </w:r>
    </w:p>
    <w:p w14:paraId="00000014" w14:textId="77777777" w:rsidR="008477E2" w:rsidRDefault="008477E2">
      <w:pPr>
        <w:pStyle w:val="Normal0"/>
        <w:spacing w:after="0" w:line="240" w:lineRule="auto"/>
        <w:ind w:right="51"/>
        <w:jc w:val="both"/>
        <w:rPr>
          <w:rFonts w:ascii="Arial" w:eastAsia="Arial" w:hAnsi="Arial" w:cs="Arial"/>
          <w:sz w:val="23"/>
          <w:szCs w:val="23"/>
        </w:rPr>
      </w:pPr>
    </w:p>
    <w:p w14:paraId="00000015" w14:textId="3DFCFEA8" w:rsidR="008477E2" w:rsidRDefault="00204519">
      <w:pPr>
        <w:pStyle w:val="Normal0"/>
        <w:spacing w:after="0" w:line="240" w:lineRule="auto"/>
        <w:ind w:right="51"/>
        <w:jc w:val="both"/>
        <w:rPr>
          <w:rFonts w:ascii="Arial" w:eastAsia="Arial" w:hAnsi="Arial" w:cs="Arial"/>
          <w:sz w:val="23"/>
          <w:szCs w:val="23"/>
        </w:rPr>
      </w:pPr>
      <w:r>
        <w:rPr>
          <w:rFonts w:ascii="Arial" w:eastAsia="Arial" w:hAnsi="Arial" w:cs="Arial"/>
          <w:sz w:val="23"/>
          <w:szCs w:val="23"/>
        </w:rPr>
        <w:t xml:space="preserve">De esta manera, la Ley </w:t>
      </w:r>
      <w:r w:rsidR="2ED5BC3E" w:rsidRPr="110B3B7E">
        <w:rPr>
          <w:rFonts w:ascii="Arial" w:eastAsia="Arial" w:hAnsi="Arial" w:cs="Arial"/>
          <w:sz w:val="23"/>
          <w:szCs w:val="23"/>
        </w:rPr>
        <w:t>mencionada se expide</w:t>
      </w:r>
      <w:r>
        <w:rPr>
          <w:rFonts w:ascii="Arial" w:eastAsia="Arial" w:hAnsi="Arial" w:cs="Arial"/>
          <w:sz w:val="23"/>
          <w:szCs w:val="23"/>
        </w:rPr>
        <w:t xml:space="preserve"> en el marco de la Política Nacional de Emprendimiento y como parte del Plan Nacional de Desarrollo 2018-2022, con el fin de facilitar el nacimiento y crecimiento de nuevas empresas e incentivar la generación de empleo. Además, se busca la consolidación y sostenibilidad de las micro, pequeñas y medianas empresas, </w:t>
      </w:r>
      <w:r w:rsidR="359AFEF5" w:rsidRPr="110B3B7E">
        <w:rPr>
          <w:rFonts w:ascii="Arial" w:eastAsia="Arial" w:hAnsi="Arial" w:cs="Arial"/>
          <w:sz w:val="23"/>
          <w:szCs w:val="23"/>
        </w:rPr>
        <w:t>como una iniciativa que busca generar</w:t>
      </w:r>
      <w:r>
        <w:rPr>
          <w:rFonts w:ascii="Arial" w:eastAsia="Arial" w:hAnsi="Arial" w:cs="Arial"/>
          <w:sz w:val="23"/>
          <w:szCs w:val="23"/>
        </w:rPr>
        <w:t xml:space="preserve"> mayor </w:t>
      </w:r>
      <w:r w:rsidR="67DC186D" w:rsidRPr="110B3B7E">
        <w:rPr>
          <w:rFonts w:ascii="Arial" w:eastAsia="Arial" w:hAnsi="Arial" w:cs="Arial"/>
          <w:sz w:val="23"/>
          <w:szCs w:val="23"/>
        </w:rPr>
        <w:t xml:space="preserve">crecimiento y </w:t>
      </w:r>
      <w:r>
        <w:rPr>
          <w:rFonts w:ascii="Arial" w:eastAsia="Arial" w:hAnsi="Arial" w:cs="Arial"/>
          <w:sz w:val="23"/>
          <w:szCs w:val="23"/>
        </w:rPr>
        <w:t>equidad.</w:t>
      </w:r>
    </w:p>
    <w:p w14:paraId="00000016" w14:textId="77777777" w:rsidR="008477E2" w:rsidRDefault="008477E2">
      <w:pPr>
        <w:pStyle w:val="Normal0"/>
        <w:spacing w:after="0" w:line="240" w:lineRule="auto"/>
        <w:ind w:right="51"/>
        <w:jc w:val="both"/>
        <w:rPr>
          <w:rFonts w:ascii="Arial" w:eastAsia="Arial" w:hAnsi="Arial" w:cs="Arial"/>
          <w:sz w:val="23"/>
          <w:szCs w:val="23"/>
        </w:rPr>
      </w:pPr>
    </w:p>
    <w:p w14:paraId="00000017" w14:textId="2DC25317" w:rsidR="008477E2" w:rsidRDefault="00204519">
      <w:pPr>
        <w:pStyle w:val="Normal0"/>
        <w:spacing w:after="0" w:line="240" w:lineRule="auto"/>
        <w:ind w:right="51"/>
        <w:jc w:val="both"/>
        <w:rPr>
          <w:rFonts w:ascii="Arial" w:eastAsia="Arial" w:hAnsi="Arial" w:cs="Arial"/>
          <w:sz w:val="23"/>
          <w:szCs w:val="23"/>
        </w:rPr>
      </w:pPr>
      <w:r>
        <w:rPr>
          <w:rFonts w:ascii="Arial" w:eastAsia="Arial" w:hAnsi="Arial" w:cs="Arial"/>
          <w:sz w:val="23"/>
          <w:szCs w:val="23"/>
        </w:rPr>
        <w:t>En la exposición de motivos del Proyecto de Ley 122 de 2020 –actual Ley de Emprendimiento</w:t>
      </w:r>
      <w:r w:rsidR="485AAC56">
        <w:rPr>
          <w:rFonts w:ascii="Arial" w:eastAsia="Arial" w:hAnsi="Arial" w:cs="Arial"/>
          <w:sz w:val="23"/>
          <w:szCs w:val="23"/>
        </w:rPr>
        <w:t>-</w:t>
      </w:r>
      <w:r>
        <w:rPr>
          <w:rFonts w:ascii="Arial" w:eastAsia="Arial" w:hAnsi="Arial" w:cs="Arial"/>
          <w:sz w:val="23"/>
          <w:szCs w:val="23"/>
        </w:rPr>
        <w:t>, el legislador expresó la importancia de consolidar y aumentar el crecimiento de las mipymes para lograr el desarrollo económico y el mejoramiento de las condiciones de equidad en el país. E</w:t>
      </w:r>
      <w:r w:rsidR="7A3D197B">
        <w:rPr>
          <w:rFonts w:ascii="Arial" w:eastAsia="Arial" w:hAnsi="Arial" w:cs="Arial"/>
          <w:sz w:val="23"/>
          <w:szCs w:val="23"/>
        </w:rPr>
        <w:t>n particular</w:t>
      </w:r>
      <w:r>
        <w:rPr>
          <w:rFonts w:ascii="Arial" w:eastAsia="Arial" w:hAnsi="Arial" w:cs="Arial"/>
          <w:sz w:val="23"/>
          <w:szCs w:val="23"/>
        </w:rPr>
        <w:t>, en lo relacionado a las compras públicas precisó que en tanto estas «representan más del 15% del PIB en Colombia y cubren una amplia gama de bienes y servicios que son compatibles con las actividades principales del segmento Mipyme»</w:t>
      </w:r>
      <w:r>
        <w:rPr>
          <w:rFonts w:ascii="Arial" w:eastAsia="Arial" w:hAnsi="Arial" w:cs="Arial"/>
          <w:sz w:val="23"/>
          <w:szCs w:val="23"/>
          <w:vertAlign w:val="superscript"/>
        </w:rPr>
        <w:footnoteReference w:id="8"/>
      </w:r>
      <w:r>
        <w:rPr>
          <w:rFonts w:ascii="Arial" w:eastAsia="Arial" w:hAnsi="Arial" w:cs="Arial"/>
          <w:sz w:val="23"/>
          <w:szCs w:val="23"/>
        </w:rPr>
        <w:t xml:space="preserve"> juegan un rol fundamental para impulsar el desarrollo empresarial del país. </w:t>
      </w:r>
    </w:p>
    <w:p w14:paraId="00000018" w14:textId="77777777" w:rsidR="008477E2" w:rsidRDefault="008477E2">
      <w:pPr>
        <w:pStyle w:val="Normal0"/>
        <w:spacing w:after="0" w:line="240" w:lineRule="auto"/>
        <w:ind w:right="51"/>
        <w:jc w:val="both"/>
        <w:rPr>
          <w:rFonts w:ascii="Arial" w:eastAsia="Arial" w:hAnsi="Arial" w:cs="Arial"/>
          <w:sz w:val="23"/>
          <w:szCs w:val="23"/>
        </w:rPr>
      </w:pPr>
    </w:p>
    <w:p w14:paraId="00000019" w14:textId="77777777" w:rsidR="008477E2" w:rsidRDefault="00204519">
      <w:pPr>
        <w:pStyle w:val="Normal0"/>
        <w:spacing w:after="0" w:line="240" w:lineRule="auto"/>
        <w:ind w:right="51"/>
        <w:jc w:val="both"/>
        <w:rPr>
          <w:rFonts w:ascii="Arial" w:eastAsia="Arial" w:hAnsi="Arial" w:cs="Arial"/>
          <w:sz w:val="23"/>
          <w:szCs w:val="23"/>
          <w:highlight w:val="white"/>
        </w:rPr>
      </w:pPr>
      <w:r>
        <w:rPr>
          <w:rFonts w:ascii="Arial" w:eastAsia="Arial" w:hAnsi="Arial" w:cs="Arial"/>
          <w:sz w:val="23"/>
          <w:szCs w:val="23"/>
        </w:rPr>
        <w:t xml:space="preserve">Así mismo, en los antecedentes legislativos, se indica que </w:t>
      </w:r>
      <w:r>
        <w:rPr>
          <w:rFonts w:ascii="Arial" w:eastAsia="Arial" w:hAnsi="Arial" w:cs="Arial"/>
          <w:sz w:val="23"/>
          <w:szCs w:val="23"/>
          <w:highlight w:val="white"/>
        </w:rPr>
        <w:t>el proyecto de Ley tiene como objetivo el siguiente:</w:t>
      </w:r>
    </w:p>
    <w:p w14:paraId="0000001A" w14:textId="77777777" w:rsidR="008477E2" w:rsidRDefault="008477E2">
      <w:pPr>
        <w:pStyle w:val="Normal0"/>
        <w:spacing w:after="0" w:line="240" w:lineRule="auto"/>
        <w:ind w:right="51"/>
        <w:jc w:val="both"/>
        <w:rPr>
          <w:rFonts w:ascii="Arial" w:eastAsia="Arial" w:hAnsi="Arial" w:cs="Arial"/>
          <w:sz w:val="23"/>
          <w:szCs w:val="23"/>
          <w:highlight w:val="white"/>
        </w:rPr>
      </w:pPr>
    </w:p>
    <w:p w14:paraId="0000001B" w14:textId="77777777" w:rsidR="008477E2" w:rsidRDefault="00204519">
      <w:pPr>
        <w:pStyle w:val="Normal0"/>
        <w:spacing w:after="0" w:line="240" w:lineRule="auto"/>
        <w:ind w:left="708" w:right="857"/>
        <w:jc w:val="both"/>
        <w:rPr>
          <w:rFonts w:ascii="Arial" w:eastAsia="Arial" w:hAnsi="Arial" w:cs="Arial"/>
          <w:sz w:val="20"/>
          <w:szCs w:val="20"/>
        </w:rPr>
      </w:pPr>
      <w:r>
        <w:rPr>
          <w:rFonts w:ascii="Arial" w:eastAsia="Arial" w:hAnsi="Arial" w:cs="Arial"/>
          <w:sz w:val="20"/>
          <w:szCs w:val="20"/>
          <w:highlight w:val="white"/>
        </w:rPr>
        <w:t>“[...] facilitar el acceso de las Mipymes a la modalidad de contratación de mínima cuantía, la limitación de estos procesos a Mipymes, define la posibilidad de establecer criterios diferenciales a favor de las Mipymes en los procesos de contratación pública, amplía el ámbito de aplicación de las medidas de compras públicas a entidades que hoy están excluidas, establece la creación de un sistema de información e indicadores para evaluar la efectividad de las medidas adoptadas y define la inclusión de factores de desempate en los procesos de contratación pública que priorizan este segmento”</w:t>
      </w:r>
      <w:r>
        <w:rPr>
          <w:rFonts w:ascii="Arial" w:eastAsia="Arial" w:hAnsi="Arial" w:cs="Arial"/>
          <w:sz w:val="20"/>
          <w:szCs w:val="20"/>
          <w:highlight w:val="white"/>
          <w:vertAlign w:val="superscript"/>
        </w:rPr>
        <w:footnoteReference w:id="9"/>
      </w:r>
      <w:r>
        <w:rPr>
          <w:rFonts w:ascii="Arial" w:eastAsia="Arial" w:hAnsi="Arial" w:cs="Arial"/>
          <w:sz w:val="20"/>
          <w:szCs w:val="20"/>
          <w:highlight w:val="white"/>
        </w:rPr>
        <w:t>.</w:t>
      </w:r>
    </w:p>
    <w:p w14:paraId="0D08CABA" w14:textId="77777777" w:rsidR="00885632" w:rsidRDefault="00885632">
      <w:pPr>
        <w:pStyle w:val="Normal0"/>
        <w:spacing w:after="0" w:line="240" w:lineRule="auto"/>
        <w:ind w:left="708" w:right="857"/>
        <w:jc w:val="both"/>
        <w:rPr>
          <w:rFonts w:ascii="Arial" w:eastAsia="Arial" w:hAnsi="Arial" w:cs="Arial"/>
          <w:sz w:val="20"/>
          <w:szCs w:val="20"/>
        </w:rPr>
      </w:pPr>
    </w:p>
    <w:p w14:paraId="0000001D" w14:textId="0DCCF27B" w:rsidR="008477E2" w:rsidRDefault="034BAC63">
      <w:pPr>
        <w:pStyle w:val="Normal0"/>
        <w:spacing w:after="0" w:line="240" w:lineRule="auto"/>
        <w:ind w:right="51"/>
        <w:jc w:val="both"/>
        <w:rPr>
          <w:rFonts w:ascii="Arial" w:eastAsia="Arial" w:hAnsi="Arial" w:cs="Arial"/>
          <w:sz w:val="23"/>
          <w:szCs w:val="23"/>
        </w:rPr>
      </w:pPr>
      <w:r w:rsidRPr="110B3B7E">
        <w:rPr>
          <w:rFonts w:ascii="Arial" w:eastAsia="Arial" w:hAnsi="Arial" w:cs="Arial"/>
          <w:sz w:val="23"/>
          <w:szCs w:val="23"/>
        </w:rPr>
        <w:t>De lo anterior se desprende que</w:t>
      </w:r>
      <w:r w:rsidR="00204519">
        <w:rPr>
          <w:rFonts w:ascii="Arial" w:eastAsia="Arial" w:hAnsi="Arial" w:cs="Arial"/>
          <w:sz w:val="23"/>
          <w:szCs w:val="23"/>
        </w:rPr>
        <w:t xml:space="preserve"> la Ley 2069 de 2020 contiene normas que modifican algunos aspectos de la contratación estatal para promover el emprendimiento. Concretamente, aquellas se encuentran en el apartado de Compras Públicas, Capítulo III –artículos 30 al 36–. En su orden, tales artículos consagran: i) reglas sobre la participación de las mipymes en el procedimiento de mínima cuantía, ii) criterios diferenciales para mipymes en el sistema de compras públicas, iii) criterios diferenciales para emprendimientos y empresas de mujeres en el sistema de compras públicas, iv) promoción del acceso de las mipymes al mercado de </w:t>
      </w:r>
      <w:r w:rsidR="00204519">
        <w:rPr>
          <w:rFonts w:ascii="Arial" w:eastAsia="Arial" w:hAnsi="Arial" w:cs="Arial"/>
          <w:sz w:val="23"/>
          <w:szCs w:val="23"/>
        </w:rPr>
        <w:lastRenderedPageBreak/>
        <w:t>compras públicas, v) promoción del desarrollo en la contratación pública, vi) un nuevo régimen de factores de desempate y vi) un llamado a las entidades estatales para que promuevan compras públicas en el marco de la tecnología y la innovación.</w:t>
      </w:r>
    </w:p>
    <w:p w14:paraId="0000001E" w14:textId="77777777" w:rsidR="008477E2" w:rsidRDefault="008477E2">
      <w:pPr>
        <w:pStyle w:val="Normal0"/>
        <w:spacing w:after="0" w:line="240" w:lineRule="auto"/>
        <w:ind w:right="51"/>
        <w:jc w:val="both"/>
        <w:rPr>
          <w:rFonts w:ascii="Arial" w:eastAsia="Arial" w:hAnsi="Arial" w:cs="Arial"/>
          <w:sz w:val="23"/>
          <w:szCs w:val="23"/>
        </w:rPr>
      </w:pPr>
    </w:p>
    <w:p w14:paraId="0000001F" w14:textId="0A7EFE00" w:rsidR="008477E2" w:rsidRDefault="7B6AC7F1">
      <w:pPr>
        <w:pStyle w:val="Normal0"/>
        <w:spacing w:after="0" w:line="240" w:lineRule="auto"/>
        <w:ind w:right="51"/>
        <w:jc w:val="both"/>
        <w:rPr>
          <w:rFonts w:ascii="Arial" w:eastAsia="Arial" w:hAnsi="Arial" w:cs="Arial"/>
          <w:color w:val="000000"/>
          <w:sz w:val="23"/>
          <w:szCs w:val="23"/>
        </w:rPr>
      </w:pPr>
      <w:r w:rsidRPr="110B3B7E">
        <w:rPr>
          <w:rFonts w:ascii="Arial" w:eastAsia="Arial" w:hAnsi="Arial" w:cs="Arial"/>
          <w:sz w:val="23"/>
          <w:szCs w:val="23"/>
        </w:rPr>
        <w:t>Debe relievarse</w:t>
      </w:r>
      <w:r w:rsidR="00204519">
        <w:rPr>
          <w:rFonts w:ascii="Arial" w:eastAsia="Arial" w:hAnsi="Arial" w:cs="Arial"/>
          <w:sz w:val="23"/>
          <w:szCs w:val="23"/>
        </w:rPr>
        <w:t xml:space="preserve"> que, d</w:t>
      </w:r>
      <w:r w:rsidR="00204519" w:rsidRPr="110B3B7E">
        <w:rPr>
          <w:rFonts w:ascii="Arial" w:eastAsia="Arial" w:hAnsi="Arial" w:cs="Arial"/>
          <w:color w:val="000000" w:themeColor="text1"/>
          <w:sz w:val="23"/>
          <w:szCs w:val="23"/>
        </w:rPr>
        <w:t xml:space="preserve">e acuerdo con el artículo 84 de dicho cuerpo normativo, «La presente Ley rige a partir del momento de su promulgación […]», lo que significa que es obligatoria para sus destinatarios desde esa fecha. Lo anterior, sin perjuicio de la posibilidad de que el Gobierno Nacional, en ejercicio de la potestad reglamentaria que le confiere el artículo 189, numeral 11, de la Constitución Política, expida el decreto correspondiente que permita la cumplida ejecución de esta Ley. </w:t>
      </w:r>
      <w:r w:rsidR="00204519">
        <w:rPr>
          <w:rFonts w:ascii="Arial" w:eastAsia="Arial" w:hAnsi="Arial" w:cs="Arial"/>
          <w:sz w:val="23"/>
          <w:szCs w:val="23"/>
        </w:rPr>
        <w:t>T</w:t>
      </w:r>
      <w:r w:rsidR="00204519" w:rsidRPr="110B3B7E">
        <w:rPr>
          <w:rFonts w:ascii="Arial" w:eastAsia="Arial" w:hAnsi="Arial" w:cs="Arial"/>
          <w:color w:val="000000" w:themeColor="text1"/>
          <w:sz w:val="23"/>
          <w:szCs w:val="23"/>
        </w:rPr>
        <w:t xml:space="preserve">eniendo en cuenta que la expedición de la presente resolución está relacionada con el alcance del artículo 35 de la referida Ley, a </w:t>
      </w:r>
      <w:proofErr w:type="gramStart"/>
      <w:r w:rsidR="00204519" w:rsidRPr="110B3B7E">
        <w:rPr>
          <w:rFonts w:ascii="Arial" w:eastAsia="Arial" w:hAnsi="Arial" w:cs="Arial"/>
          <w:color w:val="000000" w:themeColor="text1"/>
          <w:sz w:val="23"/>
          <w:szCs w:val="23"/>
        </w:rPr>
        <w:t>continuación</w:t>
      </w:r>
      <w:proofErr w:type="gramEnd"/>
      <w:r w:rsidR="00204519" w:rsidRPr="110B3B7E">
        <w:rPr>
          <w:rFonts w:ascii="Arial" w:eastAsia="Arial" w:hAnsi="Arial" w:cs="Arial"/>
          <w:color w:val="000000" w:themeColor="text1"/>
          <w:sz w:val="23"/>
          <w:szCs w:val="23"/>
        </w:rPr>
        <w:t xml:space="preserve"> se </w:t>
      </w:r>
      <w:r w:rsidR="00204519">
        <w:rPr>
          <w:rFonts w:ascii="Arial" w:eastAsia="Arial" w:hAnsi="Arial" w:cs="Arial"/>
          <w:sz w:val="23"/>
          <w:szCs w:val="23"/>
        </w:rPr>
        <w:t>expondrá</w:t>
      </w:r>
      <w:r w:rsidR="00204519" w:rsidRPr="110B3B7E">
        <w:rPr>
          <w:rFonts w:ascii="Arial" w:eastAsia="Arial" w:hAnsi="Arial" w:cs="Arial"/>
          <w:color w:val="000000" w:themeColor="text1"/>
          <w:sz w:val="23"/>
          <w:szCs w:val="23"/>
        </w:rPr>
        <w:t xml:space="preserve"> la importancia de la selección objetiva y los factores de desempate en la contratación estatal.</w:t>
      </w:r>
    </w:p>
    <w:p w14:paraId="4F7399F3" w14:textId="77777777" w:rsidR="001F0D1B" w:rsidRDefault="001F0D1B">
      <w:pPr>
        <w:pStyle w:val="Normal0"/>
        <w:spacing w:after="0" w:line="240" w:lineRule="auto"/>
        <w:ind w:right="51"/>
        <w:jc w:val="both"/>
        <w:rPr>
          <w:rFonts w:ascii="Arial" w:eastAsia="Arial" w:hAnsi="Arial" w:cs="Arial"/>
          <w:b/>
          <w:color w:val="000000"/>
          <w:sz w:val="23"/>
          <w:szCs w:val="23"/>
        </w:rPr>
      </w:pPr>
    </w:p>
    <w:p w14:paraId="00000021" w14:textId="0BC4198F" w:rsidR="008477E2" w:rsidRDefault="00204519">
      <w:pPr>
        <w:pStyle w:val="Normal0"/>
        <w:spacing w:after="0" w:line="240" w:lineRule="auto"/>
        <w:ind w:right="51"/>
        <w:jc w:val="both"/>
        <w:rPr>
          <w:rFonts w:ascii="Arial" w:eastAsia="Arial" w:hAnsi="Arial" w:cs="Arial"/>
          <w:b/>
          <w:color w:val="000000"/>
          <w:sz w:val="23"/>
          <w:szCs w:val="23"/>
        </w:rPr>
      </w:pPr>
      <w:r>
        <w:rPr>
          <w:rFonts w:ascii="Arial" w:eastAsia="Arial" w:hAnsi="Arial" w:cs="Arial"/>
          <w:b/>
          <w:color w:val="000000"/>
          <w:sz w:val="23"/>
          <w:szCs w:val="23"/>
        </w:rPr>
        <w:t>2.</w:t>
      </w:r>
      <w:r w:rsidR="001F0D1B">
        <w:rPr>
          <w:rFonts w:ascii="Arial" w:eastAsia="Arial" w:hAnsi="Arial" w:cs="Arial"/>
          <w:b/>
          <w:color w:val="000000"/>
          <w:sz w:val="23"/>
          <w:szCs w:val="23"/>
        </w:rPr>
        <w:t>1</w:t>
      </w:r>
      <w:r>
        <w:rPr>
          <w:rFonts w:ascii="Arial" w:eastAsia="Arial" w:hAnsi="Arial" w:cs="Arial"/>
          <w:b/>
          <w:color w:val="000000"/>
          <w:sz w:val="23"/>
          <w:szCs w:val="23"/>
        </w:rPr>
        <w:t>.</w:t>
      </w:r>
      <w:r w:rsidR="001F0D1B">
        <w:rPr>
          <w:rFonts w:ascii="Arial" w:eastAsia="Arial" w:hAnsi="Arial" w:cs="Arial"/>
          <w:b/>
          <w:color w:val="000000"/>
          <w:sz w:val="23"/>
          <w:szCs w:val="23"/>
        </w:rPr>
        <w:t>2</w:t>
      </w:r>
      <w:r>
        <w:rPr>
          <w:rFonts w:ascii="Arial" w:eastAsia="Arial" w:hAnsi="Arial" w:cs="Arial"/>
          <w:b/>
          <w:color w:val="000000"/>
          <w:sz w:val="23"/>
          <w:szCs w:val="23"/>
        </w:rPr>
        <w:t xml:space="preserve"> Principio de selección objetiva y factores de desempate en la contratación estatal</w:t>
      </w:r>
    </w:p>
    <w:p w14:paraId="00000022" w14:textId="77777777" w:rsidR="008477E2" w:rsidRDefault="008477E2">
      <w:pPr>
        <w:pStyle w:val="Normal0"/>
        <w:spacing w:after="0" w:line="240" w:lineRule="auto"/>
        <w:ind w:right="51"/>
        <w:jc w:val="both"/>
        <w:rPr>
          <w:rFonts w:ascii="Arial" w:eastAsia="Arial" w:hAnsi="Arial" w:cs="Arial"/>
          <w:b/>
          <w:color w:val="000000"/>
          <w:sz w:val="23"/>
          <w:szCs w:val="23"/>
        </w:rPr>
      </w:pPr>
    </w:p>
    <w:p w14:paraId="00000023" w14:textId="5CD2BA6E" w:rsidR="008477E2" w:rsidRDefault="7B74DFF2">
      <w:pPr>
        <w:pStyle w:val="Normal0"/>
        <w:spacing w:after="0" w:line="240" w:lineRule="auto"/>
        <w:ind w:right="51"/>
        <w:jc w:val="both"/>
        <w:rPr>
          <w:rFonts w:ascii="Arial" w:eastAsia="Arial" w:hAnsi="Arial" w:cs="Arial"/>
          <w:color w:val="000000"/>
          <w:sz w:val="23"/>
          <w:szCs w:val="23"/>
        </w:rPr>
      </w:pPr>
      <w:r w:rsidRPr="7B74DFF2">
        <w:rPr>
          <w:rFonts w:ascii="Arial" w:eastAsia="Arial" w:hAnsi="Arial" w:cs="Arial"/>
          <w:sz w:val="23"/>
          <w:szCs w:val="23"/>
        </w:rPr>
        <w:t>L</w:t>
      </w:r>
      <w:r w:rsidRPr="7B74DFF2">
        <w:rPr>
          <w:rFonts w:ascii="Arial" w:eastAsia="Arial" w:hAnsi="Arial" w:cs="Arial"/>
          <w:color w:val="000000" w:themeColor="text1"/>
          <w:sz w:val="23"/>
          <w:szCs w:val="23"/>
        </w:rPr>
        <w:t xml:space="preserve">a selección objetiva es uno de los principios medulares de la contratación estatal, </w:t>
      </w:r>
      <w:r w:rsidR="4F9D326A" w:rsidRPr="6CB76B80">
        <w:rPr>
          <w:rFonts w:ascii="Arial" w:eastAsia="Arial" w:hAnsi="Arial" w:cs="Arial"/>
          <w:color w:val="000000" w:themeColor="text1"/>
          <w:sz w:val="23"/>
          <w:szCs w:val="23"/>
        </w:rPr>
        <w:t xml:space="preserve">razón </w:t>
      </w:r>
      <w:r w:rsidR="67696543" w:rsidRPr="6CB76B80">
        <w:rPr>
          <w:rFonts w:ascii="Arial" w:eastAsia="Arial" w:hAnsi="Arial" w:cs="Arial"/>
          <w:color w:val="000000" w:themeColor="text1"/>
          <w:sz w:val="23"/>
          <w:szCs w:val="23"/>
        </w:rPr>
        <w:t>por</w:t>
      </w:r>
      <w:r w:rsidR="43FA332C" w:rsidRPr="6CB76B80">
        <w:rPr>
          <w:rFonts w:ascii="Arial" w:eastAsia="Arial" w:hAnsi="Arial" w:cs="Arial"/>
          <w:color w:val="000000" w:themeColor="text1"/>
          <w:sz w:val="23"/>
          <w:szCs w:val="23"/>
        </w:rPr>
        <w:t xml:space="preserve"> la cual</w:t>
      </w:r>
      <w:r w:rsidRPr="7B74DFF2">
        <w:rPr>
          <w:rFonts w:ascii="Arial" w:eastAsia="Arial" w:hAnsi="Arial" w:cs="Arial"/>
          <w:color w:val="000000" w:themeColor="text1"/>
          <w:sz w:val="23"/>
          <w:szCs w:val="23"/>
        </w:rPr>
        <w:t xml:space="preserve"> la selección del futuro contratista no puede </w:t>
      </w:r>
      <w:r w:rsidR="58583F43" w:rsidRPr="6CB76B80">
        <w:rPr>
          <w:rFonts w:ascii="Arial" w:eastAsia="Arial" w:hAnsi="Arial" w:cs="Arial"/>
          <w:color w:val="000000" w:themeColor="text1"/>
          <w:sz w:val="23"/>
          <w:szCs w:val="23"/>
        </w:rPr>
        <w:t xml:space="preserve">sustentarse en </w:t>
      </w:r>
      <w:r w:rsidR="67696543" w:rsidRPr="6CB76B80">
        <w:rPr>
          <w:rFonts w:ascii="Arial" w:eastAsia="Arial" w:hAnsi="Arial" w:cs="Arial"/>
          <w:color w:val="000000" w:themeColor="text1"/>
          <w:sz w:val="23"/>
          <w:szCs w:val="23"/>
        </w:rPr>
        <w:t>motiva</w:t>
      </w:r>
      <w:r w:rsidR="23DF9FC6" w:rsidRPr="6CB76B80">
        <w:rPr>
          <w:rFonts w:ascii="Arial" w:eastAsia="Arial" w:hAnsi="Arial" w:cs="Arial"/>
          <w:color w:val="000000" w:themeColor="text1"/>
          <w:sz w:val="23"/>
          <w:szCs w:val="23"/>
        </w:rPr>
        <w:t>ciones</w:t>
      </w:r>
      <w:r w:rsidRPr="7B74DFF2">
        <w:rPr>
          <w:rFonts w:ascii="Arial" w:eastAsia="Arial" w:hAnsi="Arial" w:cs="Arial"/>
          <w:color w:val="000000" w:themeColor="text1"/>
          <w:sz w:val="23"/>
          <w:szCs w:val="23"/>
        </w:rPr>
        <w:t xml:space="preserve"> subjetivas que afecten la imparcialidad de la entidad pública. Así lo determina el primer inciso del artículo 5 de la Ley 1150 de 2007, indicando que</w:t>
      </w:r>
      <w:r w:rsidR="00700DAE">
        <w:rPr>
          <w:rFonts w:ascii="Arial" w:eastAsia="Arial" w:hAnsi="Arial" w:cs="Arial"/>
          <w:color w:val="000000" w:themeColor="text1"/>
          <w:sz w:val="23"/>
          <w:szCs w:val="23"/>
        </w:rPr>
        <w:t>:</w:t>
      </w:r>
      <w:r w:rsidRPr="7B74DFF2">
        <w:rPr>
          <w:rFonts w:ascii="Arial" w:eastAsia="Arial" w:hAnsi="Arial" w:cs="Arial"/>
          <w:color w:val="000000" w:themeColor="text1"/>
          <w:sz w:val="23"/>
          <w:szCs w:val="23"/>
        </w:rPr>
        <w:t xml:space="preserve"> «Es objetiva la selección en la cual la escogencia se haga al ofrecimiento más favorable a la entidad y a los fines que ella busca, sin tener en consideración factores de afecto o de interés y, en general, cualquier clase de motivación subjetiva». Además, la norma citada agrega que los factores de escogencia y calificación que establezcan las entidades en los pliegos de condiciones o sus equivalentes tendrán en cuenta criterios como la experiencia y la capacidad jurídica, financiera y de organización, entre otros elementos que garanticen la escogencia de la mejor opción de negocio para la entidad estatal.</w:t>
      </w:r>
    </w:p>
    <w:p w14:paraId="00000024"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25" w14:textId="260A294E" w:rsidR="008477E2" w:rsidRDefault="00204519">
      <w:pPr>
        <w:pStyle w:val="Normal0"/>
        <w:spacing w:after="0" w:line="240" w:lineRule="auto"/>
        <w:ind w:right="51"/>
        <w:jc w:val="both"/>
        <w:rPr>
          <w:rFonts w:ascii="Arial" w:eastAsia="Arial" w:hAnsi="Arial" w:cs="Arial"/>
          <w:color w:val="000000" w:themeColor="text1"/>
          <w:sz w:val="23"/>
          <w:szCs w:val="23"/>
        </w:rPr>
      </w:pPr>
      <w:r>
        <w:rPr>
          <w:rFonts w:ascii="Arial" w:eastAsia="Arial" w:hAnsi="Arial" w:cs="Arial"/>
          <w:sz w:val="23"/>
          <w:szCs w:val="23"/>
        </w:rPr>
        <w:t>Desde</w:t>
      </w:r>
      <w:r w:rsidRPr="6CB76B80">
        <w:rPr>
          <w:rFonts w:ascii="Arial" w:eastAsia="Arial" w:hAnsi="Arial" w:cs="Arial"/>
          <w:color w:val="000000" w:themeColor="text1"/>
          <w:sz w:val="23"/>
          <w:szCs w:val="23"/>
        </w:rPr>
        <w:t xml:space="preserve"> esta perspectiva, los requisitos habilitantes o de participación, así como los criterios de evaluación o de calificación con pun</w:t>
      </w:r>
      <w:r>
        <w:rPr>
          <w:rFonts w:ascii="Arial" w:eastAsia="Arial" w:hAnsi="Arial" w:cs="Arial"/>
          <w:sz w:val="23"/>
          <w:szCs w:val="23"/>
        </w:rPr>
        <w:t>tos</w:t>
      </w:r>
      <w:r w:rsidRPr="6CB76B80">
        <w:rPr>
          <w:rFonts w:ascii="Arial" w:eastAsia="Arial" w:hAnsi="Arial" w:cs="Arial"/>
          <w:color w:val="000000" w:themeColor="text1"/>
          <w:sz w:val="23"/>
          <w:szCs w:val="23"/>
        </w:rPr>
        <w:t xml:space="preserve">, son instrumentos </w:t>
      </w:r>
      <w:r w:rsidR="4559ABAB" w:rsidRPr="6CB76B80">
        <w:rPr>
          <w:rFonts w:ascii="Arial" w:eastAsia="Arial" w:hAnsi="Arial" w:cs="Arial"/>
          <w:color w:val="000000" w:themeColor="text1"/>
          <w:sz w:val="23"/>
          <w:szCs w:val="23"/>
        </w:rPr>
        <w:t>mediante</w:t>
      </w:r>
      <w:r w:rsidRPr="6CB76B80">
        <w:rPr>
          <w:rFonts w:ascii="Arial" w:eastAsia="Arial" w:hAnsi="Arial" w:cs="Arial"/>
          <w:color w:val="000000" w:themeColor="text1"/>
          <w:sz w:val="23"/>
          <w:szCs w:val="23"/>
        </w:rPr>
        <w:t xml:space="preserve"> los cuales se pretende la materialización del principio de selección objetiva en la contratación pública. Sin embargo, en algunas ocasiones, así se establezcan requisitos habilitantes y factores de calificación óptimos, se presentan circunstancias de empate </w:t>
      </w:r>
      <w:r w:rsidR="075F74EA" w:rsidRPr="6CB76B80">
        <w:rPr>
          <w:rFonts w:ascii="Arial" w:eastAsia="Arial" w:hAnsi="Arial" w:cs="Arial"/>
          <w:color w:val="000000" w:themeColor="text1"/>
          <w:sz w:val="23"/>
          <w:szCs w:val="23"/>
        </w:rPr>
        <w:t>a pesar de l</w:t>
      </w:r>
      <w:r w:rsidRPr="6CB76B80">
        <w:rPr>
          <w:rFonts w:ascii="Arial" w:eastAsia="Arial" w:hAnsi="Arial" w:cs="Arial"/>
          <w:color w:val="000000" w:themeColor="text1"/>
          <w:sz w:val="23"/>
          <w:szCs w:val="23"/>
        </w:rPr>
        <w:t xml:space="preserve">a vez </w:t>
      </w:r>
      <w:r w:rsidR="3F199195" w:rsidRPr="6CB76B80">
        <w:rPr>
          <w:rFonts w:ascii="Arial" w:eastAsia="Arial" w:hAnsi="Arial" w:cs="Arial"/>
          <w:color w:val="000000" w:themeColor="text1"/>
          <w:sz w:val="23"/>
          <w:szCs w:val="23"/>
        </w:rPr>
        <w:t>aplica</w:t>
      </w:r>
      <w:r w:rsidR="6BB1E8F4" w:rsidRPr="6CB76B80">
        <w:rPr>
          <w:rFonts w:ascii="Arial" w:eastAsia="Arial" w:hAnsi="Arial" w:cs="Arial"/>
          <w:color w:val="000000" w:themeColor="text1"/>
          <w:sz w:val="23"/>
          <w:szCs w:val="23"/>
        </w:rPr>
        <w:t xml:space="preserve">ción </w:t>
      </w:r>
      <w:r w:rsidR="3354C911" w:rsidRPr="6CB76B80">
        <w:rPr>
          <w:rFonts w:ascii="Arial" w:eastAsia="Arial" w:hAnsi="Arial" w:cs="Arial"/>
          <w:color w:val="000000" w:themeColor="text1"/>
          <w:sz w:val="23"/>
          <w:szCs w:val="23"/>
        </w:rPr>
        <w:t>de</w:t>
      </w:r>
      <w:r w:rsidRPr="6CB76B80">
        <w:rPr>
          <w:rFonts w:ascii="Arial" w:eastAsia="Arial" w:hAnsi="Arial" w:cs="Arial"/>
          <w:color w:val="000000" w:themeColor="text1"/>
          <w:sz w:val="23"/>
          <w:szCs w:val="23"/>
        </w:rPr>
        <w:t xml:space="preserve"> estos criterios. </w:t>
      </w:r>
    </w:p>
    <w:p w14:paraId="4D043122" w14:textId="2D6F1289" w:rsidR="008477E2" w:rsidRDefault="008477E2">
      <w:pPr>
        <w:pStyle w:val="Normal0"/>
        <w:spacing w:after="0" w:line="240" w:lineRule="auto"/>
        <w:ind w:right="51"/>
        <w:jc w:val="both"/>
        <w:rPr>
          <w:rFonts w:ascii="Arial" w:eastAsia="Arial" w:hAnsi="Arial" w:cs="Arial"/>
          <w:color w:val="000000" w:themeColor="text1"/>
          <w:sz w:val="23"/>
          <w:szCs w:val="23"/>
        </w:rPr>
      </w:pPr>
    </w:p>
    <w:p w14:paraId="00000027" w14:textId="6239DE9C" w:rsidR="008477E2" w:rsidRDefault="00204519">
      <w:pPr>
        <w:pStyle w:val="Normal0"/>
        <w:spacing w:after="0" w:line="240" w:lineRule="auto"/>
        <w:ind w:right="51"/>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Como lo ha indicado la Agencia Nacional de Contratación Pública – Colombia Compra Eficiente en el «Manual para el manejo de los incentivos en los procesos de contratación», «Dos ofertas resultan empatadas cuando obtienen la misma cantidad de puntos luego de aplicar las reglas establecidas en los pliegos de condiciones; u, ofrecen el mismo precio en los casos de mínima cuantía». Es decir, el empate es un evento en el cual dos o más oferentes alcanzan una puntuación similar, al ponderarse los criterios de calificación que, en principio, aplican al procedimiento de selección. </w:t>
      </w:r>
    </w:p>
    <w:p w14:paraId="00000028"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29" w14:textId="50511735" w:rsidR="008477E2" w:rsidRDefault="70263630">
      <w:pPr>
        <w:pStyle w:val="Normal0"/>
        <w:spacing w:after="0" w:line="240" w:lineRule="auto"/>
        <w:ind w:right="51"/>
        <w:jc w:val="both"/>
        <w:rPr>
          <w:rFonts w:ascii="Arial" w:eastAsia="Arial" w:hAnsi="Arial" w:cs="Arial"/>
          <w:color w:val="000000"/>
          <w:sz w:val="23"/>
          <w:szCs w:val="23"/>
        </w:rPr>
      </w:pPr>
      <w:r>
        <w:rPr>
          <w:rFonts w:ascii="Arial" w:eastAsia="Arial" w:hAnsi="Arial" w:cs="Arial"/>
          <w:color w:val="000000"/>
          <w:sz w:val="23"/>
          <w:szCs w:val="23"/>
        </w:rPr>
        <w:t>Sin embargo</w:t>
      </w:r>
      <w:r w:rsidR="00204519">
        <w:rPr>
          <w:rFonts w:ascii="Arial" w:eastAsia="Arial" w:hAnsi="Arial" w:cs="Arial"/>
          <w:color w:val="000000"/>
          <w:sz w:val="23"/>
          <w:szCs w:val="23"/>
        </w:rPr>
        <w:t>, ni siquiera los casos de empate</w:t>
      </w:r>
      <w:r w:rsidR="6308B719">
        <w:rPr>
          <w:rFonts w:ascii="Arial" w:eastAsia="Arial" w:hAnsi="Arial" w:cs="Arial"/>
          <w:color w:val="000000"/>
          <w:sz w:val="23"/>
          <w:szCs w:val="23"/>
        </w:rPr>
        <w:t xml:space="preserve"> pueden</w:t>
      </w:r>
      <w:r w:rsidR="3F199195">
        <w:rPr>
          <w:rFonts w:ascii="Arial" w:eastAsia="Arial" w:hAnsi="Arial" w:cs="Arial"/>
          <w:color w:val="000000"/>
          <w:sz w:val="23"/>
          <w:szCs w:val="23"/>
        </w:rPr>
        <w:t xml:space="preserve"> limita</w:t>
      </w:r>
      <w:r w:rsidR="6B534418">
        <w:rPr>
          <w:rFonts w:ascii="Arial" w:eastAsia="Arial" w:hAnsi="Arial" w:cs="Arial"/>
          <w:color w:val="000000"/>
          <w:sz w:val="23"/>
          <w:szCs w:val="23"/>
        </w:rPr>
        <w:t>r</w:t>
      </w:r>
      <w:r w:rsidR="00204519">
        <w:rPr>
          <w:rFonts w:ascii="Arial" w:eastAsia="Arial" w:hAnsi="Arial" w:cs="Arial"/>
          <w:color w:val="000000"/>
          <w:sz w:val="23"/>
          <w:szCs w:val="23"/>
        </w:rPr>
        <w:t xml:space="preserve"> el alcance </w:t>
      </w:r>
      <w:r w:rsidR="2F7C14FB">
        <w:rPr>
          <w:rFonts w:ascii="Arial" w:eastAsia="Arial" w:hAnsi="Arial" w:cs="Arial"/>
          <w:color w:val="000000"/>
          <w:sz w:val="23"/>
          <w:szCs w:val="23"/>
        </w:rPr>
        <w:t>y aplicación</w:t>
      </w:r>
      <w:r w:rsidR="3F199195">
        <w:rPr>
          <w:rFonts w:ascii="Arial" w:eastAsia="Arial" w:hAnsi="Arial" w:cs="Arial"/>
          <w:color w:val="000000"/>
          <w:sz w:val="23"/>
          <w:szCs w:val="23"/>
        </w:rPr>
        <w:t xml:space="preserve"> </w:t>
      </w:r>
      <w:r w:rsidR="00204519">
        <w:rPr>
          <w:rFonts w:ascii="Arial" w:eastAsia="Arial" w:hAnsi="Arial" w:cs="Arial"/>
          <w:color w:val="000000"/>
          <w:sz w:val="23"/>
          <w:szCs w:val="23"/>
        </w:rPr>
        <w:t xml:space="preserve">de la selección objetiva en la contratación estatal. Por el contrario, en estos supuestos también debe mantenerse indemne tal postulado. En consecuencia, el desempate no puede propiciarse </w:t>
      </w:r>
      <w:r w:rsidR="00204519">
        <w:rPr>
          <w:rFonts w:ascii="Arial" w:eastAsia="Arial" w:hAnsi="Arial" w:cs="Arial"/>
          <w:color w:val="000000"/>
          <w:sz w:val="23"/>
          <w:szCs w:val="23"/>
        </w:rPr>
        <w:lastRenderedPageBreak/>
        <w:t>acudiendo arbitrariamente a consideraciones subjetivas que no estén amparadas en el ordenamiento jurídico, sino que deben aplicarse los factores permitidos por las disposiciones normativas que regulan esta materia</w:t>
      </w:r>
      <w:r w:rsidR="48AC569E">
        <w:rPr>
          <w:rFonts w:ascii="Arial" w:eastAsia="Arial" w:hAnsi="Arial" w:cs="Arial"/>
          <w:color w:val="000000"/>
          <w:sz w:val="23"/>
          <w:szCs w:val="23"/>
        </w:rPr>
        <w:t>, entre los que se cuentan,</w:t>
      </w:r>
      <w:r w:rsidR="005C10C4">
        <w:rPr>
          <w:rFonts w:ascii="Arial" w:eastAsia="Arial" w:hAnsi="Arial" w:cs="Arial"/>
          <w:color w:val="000000"/>
          <w:sz w:val="23"/>
          <w:szCs w:val="23"/>
        </w:rPr>
        <w:t xml:space="preserve"> </w:t>
      </w:r>
      <w:r w:rsidR="24FAC73A">
        <w:rPr>
          <w:rFonts w:ascii="Arial" w:eastAsia="Arial" w:hAnsi="Arial" w:cs="Arial"/>
          <w:color w:val="000000"/>
          <w:sz w:val="23"/>
          <w:szCs w:val="23"/>
        </w:rPr>
        <w:t>p</w:t>
      </w:r>
      <w:r w:rsidR="3F199195">
        <w:rPr>
          <w:rFonts w:ascii="Arial" w:eastAsia="Arial" w:hAnsi="Arial" w:cs="Arial"/>
          <w:color w:val="000000"/>
          <w:sz w:val="23"/>
          <w:szCs w:val="23"/>
        </w:rPr>
        <w:t>recisamente</w:t>
      </w:r>
      <w:r w:rsidR="00204519">
        <w:rPr>
          <w:rFonts w:ascii="Arial" w:eastAsia="Arial" w:hAnsi="Arial" w:cs="Arial"/>
          <w:color w:val="000000"/>
          <w:sz w:val="23"/>
          <w:szCs w:val="23"/>
        </w:rPr>
        <w:t xml:space="preserve"> el artículo 35 de la Ley 2069 de 2020. </w:t>
      </w:r>
      <w:r w:rsidR="514C20DB">
        <w:rPr>
          <w:rFonts w:ascii="Arial" w:eastAsia="Arial" w:hAnsi="Arial" w:cs="Arial"/>
          <w:color w:val="000000"/>
          <w:sz w:val="23"/>
          <w:szCs w:val="23"/>
        </w:rPr>
        <w:t>En relación con</w:t>
      </w:r>
      <w:r w:rsidR="00204519">
        <w:rPr>
          <w:rFonts w:ascii="Arial" w:eastAsia="Arial" w:hAnsi="Arial" w:cs="Arial"/>
          <w:sz w:val="23"/>
          <w:szCs w:val="23"/>
        </w:rPr>
        <w:t xml:space="preserve"> este aspecto, l</w:t>
      </w:r>
      <w:r w:rsidR="00204519">
        <w:rPr>
          <w:rFonts w:ascii="Arial" w:eastAsia="Arial" w:hAnsi="Arial" w:cs="Arial"/>
          <w:color w:val="000000"/>
          <w:sz w:val="23"/>
          <w:szCs w:val="23"/>
        </w:rPr>
        <w:t xml:space="preserve">a jurisprudencia </w:t>
      </w:r>
      <w:r w:rsidR="37AED917">
        <w:rPr>
          <w:rFonts w:ascii="Arial" w:eastAsia="Arial" w:hAnsi="Arial" w:cs="Arial"/>
          <w:color w:val="000000"/>
          <w:sz w:val="23"/>
          <w:szCs w:val="23"/>
        </w:rPr>
        <w:t xml:space="preserve">ha </w:t>
      </w:r>
      <w:proofErr w:type="gramStart"/>
      <w:r w:rsidR="37AED917">
        <w:rPr>
          <w:rFonts w:ascii="Arial" w:eastAsia="Arial" w:hAnsi="Arial" w:cs="Arial"/>
          <w:color w:val="000000"/>
          <w:sz w:val="23"/>
          <w:szCs w:val="23"/>
        </w:rPr>
        <w:t xml:space="preserve">señalado </w:t>
      </w:r>
      <w:r w:rsidR="00204519">
        <w:rPr>
          <w:rFonts w:ascii="Arial" w:eastAsia="Arial" w:hAnsi="Arial" w:cs="Arial"/>
          <w:color w:val="000000"/>
          <w:sz w:val="23"/>
          <w:szCs w:val="23"/>
        </w:rPr>
        <w:t xml:space="preserve"> que</w:t>
      </w:r>
      <w:proofErr w:type="gramEnd"/>
      <w:r w:rsidR="00204519">
        <w:rPr>
          <w:rFonts w:ascii="Arial" w:eastAsia="Arial" w:hAnsi="Arial" w:cs="Arial"/>
          <w:color w:val="000000"/>
          <w:sz w:val="23"/>
          <w:szCs w:val="23"/>
        </w:rPr>
        <w:t xml:space="preserve"> los criterios de desempate deben estar establecidos de antemano y constituyen un límite a la discrecionalidad administrativa en los procedimientos de selección</w:t>
      </w:r>
      <w:r w:rsidR="00204519">
        <w:rPr>
          <w:rFonts w:ascii="Arial" w:eastAsia="Arial" w:hAnsi="Arial" w:cs="Arial"/>
          <w:color w:val="000000"/>
          <w:sz w:val="23"/>
          <w:szCs w:val="23"/>
          <w:vertAlign w:val="superscript"/>
        </w:rPr>
        <w:footnoteReference w:id="10"/>
      </w:r>
      <w:r w:rsidR="00204519">
        <w:rPr>
          <w:rFonts w:ascii="Arial" w:eastAsia="Arial" w:hAnsi="Arial" w:cs="Arial"/>
          <w:color w:val="000000"/>
          <w:sz w:val="23"/>
          <w:szCs w:val="23"/>
        </w:rPr>
        <w:t xml:space="preserve">. </w:t>
      </w:r>
    </w:p>
    <w:p w14:paraId="0000002A"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2B" w14:textId="48B243C4" w:rsidR="008477E2" w:rsidRDefault="00204519">
      <w:pPr>
        <w:pStyle w:val="Normal0"/>
        <w:spacing w:after="0" w:line="240" w:lineRule="auto"/>
        <w:ind w:right="51"/>
        <w:jc w:val="both"/>
        <w:rPr>
          <w:rFonts w:ascii="Arial" w:eastAsia="Arial" w:hAnsi="Arial" w:cs="Arial"/>
          <w:color w:val="000000"/>
          <w:sz w:val="23"/>
          <w:szCs w:val="23"/>
        </w:rPr>
      </w:pPr>
      <w:r>
        <w:rPr>
          <w:rFonts w:ascii="Arial" w:eastAsia="Arial" w:hAnsi="Arial" w:cs="Arial"/>
          <w:color w:val="000000"/>
          <w:sz w:val="23"/>
          <w:szCs w:val="23"/>
        </w:rPr>
        <w:t xml:space="preserve">En tal sentido, la Corte Constitucional </w:t>
      </w:r>
      <w:r>
        <w:rPr>
          <w:rFonts w:ascii="Arial" w:eastAsia="Arial" w:hAnsi="Arial" w:cs="Arial"/>
          <w:sz w:val="23"/>
          <w:szCs w:val="23"/>
        </w:rPr>
        <w:t>ha explicado</w:t>
      </w:r>
      <w:r>
        <w:rPr>
          <w:rFonts w:ascii="Arial" w:eastAsia="Arial" w:hAnsi="Arial" w:cs="Arial"/>
          <w:color w:val="000000"/>
          <w:sz w:val="23"/>
          <w:szCs w:val="23"/>
        </w:rPr>
        <w:t xml:space="preserve"> que cuando la ley establece factores de desempate obligatorios, las entidades estatales no pueden </w:t>
      </w:r>
      <w:proofErr w:type="spellStart"/>
      <w:r>
        <w:rPr>
          <w:rFonts w:ascii="Arial" w:eastAsia="Arial" w:hAnsi="Arial" w:cs="Arial"/>
          <w:color w:val="000000"/>
          <w:sz w:val="23"/>
          <w:szCs w:val="23"/>
        </w:rPr>
        <w:t>inaplicarlos</w:t>
      </w:r>
      <w:proofErr w:type="spellEnd"/>
      <w:r>
        <w:rPr>
          <w:rFonts w:ascii="Arial" w:eastAsia="Arial" w:hAnsi="Arial" w:cs="Arial"/>
          <w:color w:val="000000"/>
          <w:sz w:val="23"/>
          <w:szCs w:val="23"/>
        </w:rPr>
        <w:t xml:space="preserve">, </w:t>
      </w:r>
      <w:r w:rsidR="3F199195">
        <w:rPr>
          <w:rFonts w:ascii="Arial" w:eastAsia="Arial" w:hAnsi="Arial" w:cs="Arial"/>
          <w:color w:val="000000"/>
          <w:sz w:val="23"/>
          <w:szCs w:val="23"/>
        </w:rPr>
        <w:t>p</w:t>
      </w:r>
      <w:r w:rsidR="3F340C91">
        <w:rPr>
          <w:rFonts w:ascii="Arial" w:eastAsia="Arial" w:hAnsi="Arial" w:cs="Arial"/>
          <w:color w:val="000000"/>
          <w:sz w:val="23"/>
          <w:szCs w:val="23"/>
        </w:rPr>
        <w:t>ues</w:t>
      </w:r>
      <w:r>
        <w:rPr>
          <w:rFonts w:ascii="Arial" w:eastAsia="Arial" w:hAnsi="Arial" w:cs="Arial"/>
          <w:color w:val="000000"/>
          <w:sz w:val="23"/>
          <w:szCs w:val="23"/>
        </w:rPr>
        <w:t xml:space="preserve"> ello podría vulnerar el principio de igualdad, especialmente, cuando algunos de estos criterios surgen como acciones afirmativas para ciertos sectores de la población</w:t>
      </w:r>
      <w:r>
        <w:rPr>
          <w:rFonts w:ascii="Arial" w:eastAsia="Arial" w:hAnsi="Arial" w:cs="Arial"/>
          <w:color w:val="000000"/>
          <w:sz w:val="23"/>
          <w:szCs w:val="23"/>
          <w:vertAlign w:val="superscript"/>
        </w:rPr>
        <w:footnoteReference w:id="11"/>
      </w:r>
      <w:r>
        <w:rPr>
          <w:rFonts w:ascii="Arial" w:eastAsia="Arial" w:hAnsi="Arial" w:cs="Arial"/>
          <w:color w:val="000000"/>
          <w:sz w:val="23"/>
          <w:szCs w:val="23"/>
        </w:rPr>
        <w:t xml:space="preserve">. </w:t>
      </w:r>
      <w:r w:rsidR="1CB621E0">
        <w:rPr>
          <w:rFonts w:ascii="Arial" w:eastAsia="Arial" w:hAnsi="Arial" w:cs="Arial"/>
          <w:color w:val="000000"/>
          <w:sz w:val="23"/>
          <w:szCs w:val="23"/>
        </w:rPr>
        <w:t>Más aún</w:t>
      </w:r>
      <w:r>
        <w:rPr>
          <w:rFonts w:ascii="Arial" w:eastAsia="Arial" w:hAnsi="Arial" w:cs="Arial"/>
          <w:color w:val="000000"/>
          <w:sz w:val="23"/>
          <w:szCs w:val="23"/>
        </w:rPr>
        <w:t>, el Consejo de Estado</w:t>
      </w:r>
      <w:r w:rsidR="4126DA29">
        <w:rPr>
          <w:rFonts w:ascii="Arial" w:eastAsia="Arial" w:hAnsi="Arial" w:cs="Arial"/>
          <w:color w:val="000000"/>
          <w:sz w:val="23"/>
          <w:szCs w:val="23"/>
        </w:rPr>
        <w:t xml:space="preserve"> ha establecido que</w:t>
      </w:r>
      <w:r>
        <w:rPr>
          <w:rFonts w:ascii="Arial" w:eastAsia="Arial" w:hAnsi="Arial" w:cs="Arial"/>
          <w:color w:val="000000"/>
          <w:sz w:val="23"/>
          <w:szCs w:val="23"/>
        </w:rPr>
        <w:t xml:space="preserve"> ir en contra de los factores de desempate establecidos expresamente genera la nulidad del contrato, conforme al artículo 44, inciso 1º de la Ley 80 de 1993</w:t>
      </w:r>
      <w:r>
        <w:rPr>
          <w:rFonts w:ascii="Arial" w:eastAsia="Arial" w:hAnsi="Arial" w:cs="Arial"/>
          <w:color w:val="000000"/>
          <w:sz w:val="23"/>
          <w:szCs w:val="23"/>
          <w:vertAlign w:val="superscript"/>
        </w:rPr>
        <w:footnoteReference w:id="12"/>
      </w:r>
      <w:r>
        <w:rPr>
          <w:rFonts w:ascii="Arial" w:eastAsia="Arial" w:hAnsi="Arial" w:cs="Arial"/>
          <w:color w:val="000000"/>
          <w:sz w:val="23"/>
          <w:szCs w:val="23"/>
        </w:rPr>
        <w:t>.</w:t>
      </w:r>
    </w:p>
    <w:p w14:paraId="0000002C"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2D" w14:textId="68C1D941" w:rsidR="008477E2" w:rsidRDefault="07D56DF2">
      <w:pPr>
        <w:pStyle w:val="Normal0"/>
        <w:spacing w:after="0" w:line="240" w:lineRule="auto"/>
        <w:ind w:right="51"/>
        <w:jc w:val="both"/>
        <w:rPr>
          <w:rFonts w:ascii="Arial" w:eastAsia="Arial" w:hAnsi="Arial" w:cs="Arial"/>
          <w:color w:val="000000"/>
          <w:sz w:val="23"/>
          <w:szCs w:val="23"/>
        </w:rPr>
      </w:pPr>
      <w:r w:rsidRPr="6CB76B80">
        <w:rPr>
          <w:rFonts w:ascii="Arial" w:eastAsia="Arial" w:hAnsi="Arial" w:cs="Arial"/>
          <w:color w:val="000000" w:themeColor="text1"/>
          <w:sz w:val="23"/>
          <w:szCs w:val="23"/>
        </w:rPr>
        <w:t>Por tanto</w:t>
      </w:r>
      <w:r w:rsidR="00204519" w:rsidRPr="6CB76B80">
        <w:rPr>
          <w:rFonts w:ascii="Arial" w:eastAsia="Arial" w:hAnsi="Arial" w:cs="Arial"/>
          <w:color w:val="000000" w:themeColor="text1"/>
          <w:sz w:val="23"/>
          <w:szCs w:val="23"/>
        </w:rPr>
        <w:t>, en cumplimiento d</w:t>
      </w:r>
      <w:r w:rsidR="00204519">
        <w:rPr>
          <w:rFonts w:ascii="Arial" w:eastAsia="Arial" w:hAnsi="Arial" w:cs="Arial"/>
          <w:sz w:val="23"/>
          <w:szCs w:val="23"/>
        </w:rPr>
        <w:t>el principio de selección objetiva</w:t>
      </w:r>
      <w:r w:rsidR="00204519" w:rsidRPr="6CB76B80">
        <w:rPr>
          <w:rFonts w:ascii="Arial" w:eastAsia="Arial" w:hAnsi="Arial" w:cs="Arial"/>
          <w:color w:val="000000" w:themeColor="text1"/>
          <w:sz w:val="23"/>
          <w:szCs w:val="23"/>
        </w:rPr>
        <w:t xml:space="preserve">, los factores de desempate que rigen la contratación estatal deben guardar armonía con </w:t>
      </w:r>
      <w:r w:rsidR="00204519">
        <w:rPr>
          <w:rFonts w:ascii="Arial" w:eastAsia="Arial" w:hAnsi="Arial" w:cs="Arial"/>
          <w:sz w:val="23"/>
          <w:szCs w:val="23"/>
        </w:rPr>
        <w:t>las nuevas disposiciones aplicables en el ordenamiento jurídico</w:t>
      </w:r>
      <w:r w:rsidR="2A62AB6B" w:rsidRPr="6CB76B80">
        <w:rPr>
          <w:rFonts w:ascii="Arial" w:eastAsia="Arial" w:hAnsi="Arial" w:cs="Arial"/>
          <w:sz w:val="23"/>
          <w:szCs w:val="23"/>
        </w:rPr>
        <w:t>, concretamente con lo establecido en el artículo 35 de la Ley 2069 de 2020</w:t>
      </w:r>
      <w:r w:rsidR="00204519">
        <w:rPr>
          <w:rFonts w:ascii="Arial" w:eastAsia="Arial" w:hAnsi="Arial" w:cs="Arial"/>
          <w:sz w:val="23"/>
          <w:szCs w:val="23"/>
        </w:rPr>
        <w:t xml:space="preserve">. </w:t>
      </w:r>
    </w:p>
    <w:p w14:paraId="0000002E"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2F" w14:textId="2FA42498" w:rsidR="008477E2" w:rsidRDefault="00204519">
      <w:pPr>
        <w:pStyle w:val="Normal0"/>
        <w:spacing w:after="0" w:line="240" w:lineRule="auto"/>
        <w:ind w:right="51"/>
        <w:jc w:val="both"/>
        <w:rPr>
          <w:rFonts w:ascii="Arial" w:eastAsia="Arial" w:hAnsi="Arial" w:cs="Arial"/>
          <w:b/>
          <w:color w:val="000000"/>
          <w:sz w:val="23"/>
          <w:szCs w:val="23"/>
        </w:rPr>
      </w:pPr>
      <w:r>
        <w:rPr>
          <w:rFonts w:ascii="Arial" w:eastAsia="Arial" w:hAnsi="Arial" w:cs="Arial"/>
          <w:b/>
          <w:color w:val="000000"/>
          <w:sz w:val="23"/>
          <w:szCs w:val="23"/>
        </w:rPr>
        <w:t>2.</w:t>
      </w:r>
      <w:r w:rsidR="001F0D1B">
        <w:rPr>
          <w:rFonts w:ascii="Arial" w:eastAsia="Arial" w:hAnsi="Arial" w:cs="Arial"/>
          <w:b/>
          <w:color w:val="000000"/>
          <w:sz w:val="23"/>
          <w:szCs w:val="23"/>
        </w:rPr>
        <w:t>1.</w:t>
      </w:r>
      <w:r>
        <w:rPr>
          <w:rFonts w:ascii="Arial" w:eastAsia="Arial" w:hAnsi="Arial" w:cs="Arial"/>
          <w:b/>
          <w:color w:val="000000"/>
          <w:sz w:val="23"/>
          <w:szCs w:val="23"/>
        </w:rPr>
        <w:t xml:space="preserve">3. Derogatoria del </w:t>
      </w:r>
      <w:r>
        <w:rPr>
          <w:rFonts w:ascii="Arial" w:eastAsia="Arial" w:hAnsi="Arial" w:cs="Arial"/>
          <w:b/>
          <w:sz w:val="23"/>
          <w:szCs w:val="23"/>
        </w:rPr>
        <w:t xml:space="preserve">artículo 2.2.1.1.2.2.9 del Decreto 1082 de 2015, </w:t>
      </w:r>
      <w:r>
        <w:rPr>
          <w:rFonts w:ascii="Arial" w:eastAsia="Arial" w:hAnsi="Arial" w:cs="Arial"/>
          <w:b/>
          <w:color w:val="000000"/>
          <w:sz w:val="23"/>
          <w:szCs w:val="23"/>
        </w:rPr>
        <w:t>producida por el artículo 35 de la Ley 2069 de 2020</w:t>
      </w:r>
    </w:p>
    <w:p w14:paraId="00000030" w14:textId="77777777" w:rsidR="008477E2" w:rsidRDefault="008477E2">
      <w:pPr>
        <w:pStyle w:val="Normal0"/>
        <w:spacing w:after="0" w:line="240" w:lineRule="auto"/>
        <w:ind w:right="51"/>
        <w:jc w:val="both"/>
        <w:rPr>
          <w:rFonts w:ascii="Arial" w:eastAsia="Arial" w:hAnsi="Arial" w:cs="Arial"/>
          <w:b/>
          <w:color w:val="000000"/>
          <w:sz w:val="23"/>
          <w:szCs w:val="23"/>
        </w:rPr>
      </w:pPr>
    </w:p>
    <w:p w14:paraId="00000031" w14:textId="6FB88387" w:rsidR="008477E2" w:rsidRDefault="00204519">
      <w:pPr>
        <w:pStyle w:val="Normal0"/>
        <w:spacing w:after="0" w:line="240" w:lineRule="auto"/>
        <w:ind w:right="51"/>
        <w:jc w:val="both"/>
        <w:rPr>
          <w:rFonts w:ascii="Arial" w:eastAsia="Arial" w:hAnsi="Arial" w:cs="Arial"/>
          <w:color w:val="000000"/>
          <w:sz w:val="23"/>
          <w:szCs w:val="23"/>
        </w:rPr>
      </w:pPr>
      <w:bookmarkStart w:id="2" w:name="_heading=h.gjdgxs" w:colFirst="0" w:colLast="0"/>
      <w:bookmarkEnd w:id="2"/>
      <w:r>
        <w:rPr>
          <w:rFonts w:ascii="Arial" w:eastAsia="Arial" w:hAnsi="Arial" w:cs="Arial"/>
          <w:sz w:val="23"/>
          <w:szCs w:val="23"/>
        </w:rPr>
        <w:t>Como se ha mencionado en la presente memoria justificativa, e</w:t>
      </w:r>
      <w:r w:rsidRPr="6CB76B80">
        <w:rPr>
          <w:rFonts w:ascii="Arial" w:eastAsia="Arial" w:hAnsi="Arial" w:cs="Arial"/>
          <w:color w:val="000000" w:themeColor="text1"/>
          <w:sz w:val="23"/>
          <w:szCs w:val="23"/>
        </w:rPr>
        <w:t>l artículo 35 de la Ley 2069 de 2020 modific</w:t>
      </w:r>
      <w:r>
        <w:rPr>
          <w:rFonts w:ascii="Arial" w:eastAsia="Arial" w:hAnsi="Arial" w:cs="Arial"/>
          <w:sz w:val="23"/>
          <w:szCs w:val="23"/>
        </w:rPr>
        <w:t>ó</w:t>
      </w:r>
      <w:r w:rsidRPr="6CB76B80">
        <w:rPr>
          <w:rFonts w:ascii="Arial" w:eastAsia="Arial" w:hAnsi="Arial" w:cs="Arial"/>
          <w:color w:val="000000" w:themeColor="text1"/>
          <w:sz w:val="23"/>
          <w:szCs w:val="23"/>
        </w:rPr>
        <w:t xml:space="preserve"> la regulación de los factores de desempate en la contratación estatal. Pese a que el parágrafo 3 dispone que el Gobierno Nacional podrá regular los supuestos en que concurran dos o más factores de desempate, se considera que el artículo 35 de la Ley 2069 de 2020 goza de aplicación directa desde la fecha de su promulgación, es decir, no requiere de una reglamentación previa como presupuesto para su eficacia. Esta precisión reviste importancia, </w:t>
      </w:r>
      <w:r w:rsidR="3F199195" w:rsidRPr="6CB76B80">
        <w:rPr>
          <w:rFonts w:ascii="Arial" w:eastAsia="Arial" w:hAnsi="Arial" w:cs="Arial"/>
          <w:color w:val="000000" w:themeColor="text1"/>
          <w:sz w:val="23"/>
          <w:szCs w:val="23"/>
        </w:rPr>
        <w:t>p</w:t>
      </w:r>
      <w:r w:rsidR="69756E6E" w:rsidRPr="6CB76B80">
        <w:rPr>
          <w:rFonts w:ascii="Arial" w:eastAsia="Arial" w:hAnsi="Arial" w:cs="Arial"/>
          <w:color w:val="000000" w:themeColor="text1"/>
          <w:sz w:val="23"/>
          <w:szCs w:val="23"/>
        </w:rPr>
        <w:t>u</w:t>
      </w:r>
      <w:r w:rsidR="6124AC4C" w:rsidRPr="6CB76B80">
        <w:rPr>
          <w:rFonts w:ascii="Arial" w:eastAsia="Arial" w:hAnsi="Arial" w:cs="Arial"/>
          <w:color w:val="000000" w:themeColor="text1"/>
          <w:sz w:val="23"/>
          <w:szCs w:val="23"/>
        </w:rPr>
        <w:t xml:space="preserve">es </w:t>
      </w:r>
      <w:r w:rsidR="00885632">
        <w:rPr>
          <w:rFonts w:ascii="Arial" w:eastAsia="Arial" w:hAnsi="Arial" w:cs="Arial"/>
          <w:color w:val="000000" w:themeColor="text1"/>
          <w:sz w:val="23"/>
          <w:szCs w:val="23"/>
        </w:rPr>
        <w:t>a</w:t>
      </w:r>
      <w:r w:rsidRPr="6CB76B80">
        <w:rPr>
          <w:rFonts w:ascii="Arial" w:eastAsia="Arial" w:hAnsi="Arial" w:cs="Arial"/>
          <w:color w:val="000000" w:themeColor="text1"/>
          <w:sz w:val="23"/>
          <w:szCs w:val="23"/>
        </w:rPr>
        <w:t>lgunos enunciados normativos de la</w:t>
      </w:r>
      <w:r>
        <w:rPr>
          <w:rFonts w:ascii="Arial" w:eastAsia="Arial" w:hAnsi="Arial" w:cs="Arial"/>
          <w:sz w:val="23"/>
          <w:szCs w:val="23"/>
        </w:rPr>
        <w:t xml:space="preserve"> precitada Ley sí</w:t>
      </w:r>
      <w:r w:rsidRPr="6CB76B80">
        <w:rPr>
          <w:rFonts w:ascii="Arial" w:eastAsia="Arial" w:hAnsi="Arial" w:cs="Arial"/>
          <w:color w:val="000000" w:themeColor="text1"/>
          <w:sz w:val="23"/>
          <w:szCs w:val="23"/>
        </w:rPr>
        <w:t xml:space="preserve"> establecen un </w:t>
      </w:r>
      <w:r w:rsidRPr="6CB76B80">
        <w:rPr>
          <w:rFonts w:ascii="Arial" w:eastAsia="Arial" w:hAnsi="Arial" w:cs="Arial"/>
          <w:color w:val="000000" w:themeColor="text1"/>
          <w:sz w:val="23"/>
          <w:szCs w:val="23"/>
        </w:rPr>
        <w:lastRenderedPageBreak/>
        <w:t xml:space="preserve">mandato de reglamentación, dirigido al gobierno nacional, como condición para aplicar lo dispuesto en dicha Ley. </w:t>
      </w:r>
    </w:p>
    <w:p w14:paraId="00000032"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33" w14:textId="77777777" w:rsidR="008477E2" w:rsidRDefault="00204519">
      <w:pPr>
        <w:pStyle w:val="Normal0"/>
        <w:spacing w:after="0" w:line="240" w:lineRule="auto"/>
        <w:ind w:right="51"/>
        <w:jc w:val="both"/>
        <w:rPr>
          <w:rFonts w:ascii="Arial" w:eastAsia="Arial" w:hAnsi="Arial" w:cs="Arial"/>
          <w:color w:val="000000"/>
          <w:sz w:val="23"/>
          <w:szCs w:val="23"/>
        </w:rPr>
      </w:pPr>
      <w:r>
        <w:rPr>
          <w:rFonts w:ascii="Arial" w:eastAsia="Arial" w:hAnsi="Arial" w:cs="Arial"/>
          <w:color w:val="000000"/>
          <w:sz w:val="23"/>
          <w:szCs w:val="23"/>
        </w:rPr>
        <w:t xml:space="preserve">Por ejemplo, en lo que a las compras públicas se refiere, el parágrafo primero del artículo 30, que alude a la participación de mipymes en procedimientos de mínima cuantía, establece que «Las particularidades del procedimiento aquí previsto, así como la posibilidad que tengan las entidades de realizar estas adquisiciones a Mipymes o establecimientos que correspondan a la definición de "gran almacén" señalada por la Superintendencia de Industria y Comercio, se determinarán en el reglamento que para el efecto expida el Gobierno Nacional». En un sentido similar, el parágrafo segundo del mismo artículo expresa que «La contratación a que se refiere el presente artículo se realizará exclusivamente con las reglas en él contempladas y en su reglamentación. […]». </w:t>
      </w:r>
    </w:p>
    <w:p w14:paraId="00000034"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35" w14:textId="64F4380F" w:rsidR="008477E2" w:rsidRDefault="01121BA0">
      <w:pPr>
        <w:pStyle w:val="Normal0"/>
        <w:spacing w:after="0" w:line="240" w:lineRule="auto"/>
        <w:ind w:right="51"/>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Ese no es el caso del artículo </w:t>
      </w:r>
      <w:r w:rsidR="00204519" w:rsidRPr="6CB76B80">
        <w:rPr>
          <w:rFonts w:ascii="Arial" w:eastAsia="Arial" w:hAnsi="Arial" w:cs="Arial"/>
          <w:color w:val="000000" w:themeColor="text1"/>
          <w:sz w:val="23"/>
          <w:szCs w:val="23"/>
        </w:rPr>
        <w:t>35</w:t>
      </w:r>
      <w:r w:rsidR="6187B59C" w:rsidRPr="6CB76B80">
        <w:rPr>
          <w:rFonts w:ascii="Arial" w:eastAsia="Arial" w:hAnsi="Arial" w:cs="Arial"/>
          <w:color w:val="000000" w:themeColor="text1"/>
          <w:sz w:val="23"/>
          <w:szCs w:val="23"/>
        </w:rPr>
        <w:t xml:space="preserve"> de la Ley 2069 de 2020</w:t>
      </w:r>
      <w:r w:rsidR="3F199195" w:rsidRPr="6CB76B80">
        <w:rPr>
          <w:rFonts w:ascii="Arial" w:eastAsia="Arial" w:hAnsi="Arial" w:cs="Arial"/>
          <w:color w:val="000000" w:themeColor="text1"/>
          <w:sz w:val="23"/>
          <w:szCs w:val="23"/>
        </w:rPr>
        <w:t>.</w:t>
      </w:r>
      <w:r w:rsidR="00204519" w:rsidRPr="6CB76B80">
        <w:rPr>
          <w:rFonts w:ascii="Arial" w:eastAsia="Arial" w:hAnsi="Arial" w:cs="Arial"/>
          <w:color w:val="000000" w:themeColor="text1"/>
          <w:sz w:val="23"/>
          <w:szCs w:val="23"/>
        </w:rPr>
        <w:t xml:space="preserve"> En efecto, los factores de desempate regulados en el artículo 35 deben aplicarse «[…] de forma sucesiva y excluyente para seleccionar al oferente favorecido, respetando en todo caso los compromisos internacionales vigentes» –según lo dispone el inciso primero–, el parágrafo tercero del mencionado artículo establece que «El Gobierno Nacional podrá reglamentar la aplicación de factores de desempate en casos en que concurran dos o más de los factores aquí previstos». En otras palabras, dicho parágrafo le asigna potestad reglamentaria al gobierno nacional para definir factores que permitan desempatar las ofertas en aquellos casos en que varios oferentes reúnan al tiempo dos o más de los factores previstos en el artículo 35</w:t>
      </w:r>
      <w:r w:rsidR="530047EF" w:rsidRPr="6CB76B80">
        <w:rPr>
          <w:rFonts w:ascii="Arial" w:eastAsia="Arial" w:hAnsi="Arial" w:cs="Arial"/>
          <w:color w:val="000000" w:themeColor="text1"/>
          <w:sz w:val="23"/>
          <w:szCs w:val="23"/>
        </w:rPr>
        <w:t>, lo que no condiciona la aplicación inmediata de esa disposición normativa</w:t>
      </w:r>
      <w:r w:rsidR="6C0105E5" w:rsidRPr="6CB76B80">
        <w:rPr>
          <w:rFonts w:ascii="Arial" w:eastAsia="Arial" w:hAnsi="Arial" w:cs="Arial"/>
          <w:color w:val="000000" w:themeColor="text1"/>
          <w:sz w:val="23"/>
          <w:szCs w:val="23"/>
        </w:rPr>
        <w:t>.</w:t>
      </w:r>
      <w:r w:rsidR="3F199195" w:rsidRPr="6CB76B80">
        <w:rPr>
          <w:rFonts w:ascii="Arial" w:eastAsia="Arial" w:hAnsi="Arial" w:cs="Arial"/>
          <w:color w:val="000000" w:themeColor="text1"/>
          <w:sz w:val="23"/>
          <w:szCs w:val="23"/>
        </w:rPr>
        <w:t xml:space="preserve">  </w:t>
      </w:r>
    </w:p>
    <w:p w14:paraId="00000036"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37" w14:textId="699AC3E6" w:rsidR="008477E2" w:rsidRDefault="00204519">
      <w:pPr>
        <w:pStyle w:val="Normal0"/>
        <w:spacing w:after="0" w:line="240" w:lineRule="auto"/>
        <w:ind w:right="51"/>
        <w:jc w:val="both"/>
        <w:rPr>
          <w:rFonts w:ascii="Arial" w:eastAsia="Arial" w:hAnsi="Arial" w:cs="Arial"/>
          <w:color w:val="000000"/>
          <w:sz w:val="23"/>
          <w:szCs w:val="23"/>
        </w:rPr>
      </w:pPr>
      <w:r>
        <w:rPr>
          <w:rFonts w:ascii="Arial" w:eastAsia="Arial" w:hAnsi="Arial" w:cs="Arial"/>
          <w:sz w:val="23"/>
          <w:szCs w:val="23"/>
        </w:rPr>
        <w:t>H</w:t>
      </w:r>
      <w:r>
        <w:rPr>
          <w:rFonts w:ascii="Arial" w:eastAsia="Arial" w:hAnsi="Arial" w:cs="Arial"/>
          <w:color w:val="000000"/>
          <w:sz w:val="23"/>
          <w:szCs w:val="23"/>
        </w:rPr>
        <w:t>asta la promulgación de la Ley 2069 de 2020, el artículo 2.2.1.1.2.2.9. del Decreto 1082 de 2015 regulaba los factores de desempate que debían aplicarse en los procesos de selección</w:t>
      </w:r>
      <w:r>
        <w:rPr>
          <w:rFonts w:ascii="Arial" w:eastAsia="Arial" w:hAnsi="Arial" w:cs="Arial"/>
          <w:color w:val="000000"/>
          <w:sz w:val="23"/>
          <w:szCs w:val="23"/>
          <w:vertAlign w:val="superscript"/>
        </w:rPr>
        <w:footnoteReference w:id="13"/>
      </w:r>
      <w:r>
        <w:rPr>
          <w:rFonts w:ascii="Arial" w:eastAsia="Arial" w:hAnsi="Arial" w:cs="Arial"/>
          <w:color w:val="000000"/>
          <w:sz w:val="23"/>
          <w:szCs w:val="23"/>
        </w:rPr>
        <w:t xml:space="preserve">. </w:t>
      </w:r>
      <w:r>
        <w:rPr>
          <w:rFonts w:ascii="Arial" w:eastAsia="Arial" w:hAnsi="Arial" w:cs="Arial"/>
          <w:color w:val="000000"/>
          <w:sz w:val="23"/>
          <w:szCs w:val="23"/>
        </w:rPr>
        <w:lastRenderedPageBreak/>
        <w:t>En criterio de esta Agencia, dicha norma debe entenderse derogada por el artículo 35 de la Ley 2069 de 2020</w:t>
      </w:r>
      <w:r w:rsidR="23D6DFB3">
        <w:rPr>
          <w:rFonts w:ascii="Arial" w:eastAsia="Arial" w:hAnsi="Arial" w:cs="Arial"/>
          <w:color w:val="000000"/>
          <w:sz w:val="23"/>
          <w:szCs w:val="23"/>
        </w:rPr>
        <w:t>,</w:t>
      </w:r>
      <w:r w:rsidR="3F199195" w:rsidRPr="6CB76B80">
        <w:rPr>
          <w:rFonts w:ascii="Arial" w:eastAsia="Arial" w:hAnsi="Arial" w:cs="Arial"/>
          <w:color w:val="000000" w:themeColor="text1"/>
          <w:sz w:val="23"/>
          <w:szCs w:val="23"/>
        </w:rPr>
        <w:t xml:space="preserve"> </w:t>
      </w:r>
      <w:r w:rsidR="32C18332" w:rsidRPr="6CB76B80">
        <w:rPr>
          <w:rFonts w:ascii="Arial" w:eastAsia="Arial" w:hAnsi="Arial" w:cs="Arial"/>
          <w:color w:val="000000" w:themeColor="text1"/>
          <w:sz w:val="23"/>
          <w:szCs w:val="23"/>
        </w:rPr>
        <w:t>teniendo en cuenta</w:t>
      </w:r>
      <w:r w:rsidR="3B2E9143" w:rsidRPr="6CB76B80">
        <w:rPr>
          <w:rFonts w:ascii="Arial" w:eastAsia="Arial" w:hAnsi="Arial" w:cs="Arial"/>
          <w:color w:val="000000" w:themeColor="text1"/>
          <w:sz w:val="23"/>
          <w:szCs w:val="23"/>
        </w:rPr>
        <w:t xml:space="preserve"> </w:t>
      </w:r>
      <w:r w:rsidR="3F199195" w:rsidRPr="6CB76B80">
        <w:rPr>
          <w:rFonts w:ascii="Arial" w:eastAsia="Arial" w:hAnsi="Arial" w:cs="Arial"/>
          <w:color w:val="000000" w:themeColor="text1"/>
          <w:sz w:val="23"/>
          <w:szCs w:val="23"/>
        </w:rPr>
        <w:t>que</w:t>
      </w:r>
      <w:r w:rsidRPr="6CB76B80">
        <w:rPr>
          <w:rFonts w:ascii="Arial" w:eastAsia="Arial" w:hAnsi="Arial" w:cs="Arial"/>
          <w:color w:val="000000" w:themeColor="text1"/>
          <w:sz w:val="23"/>
          <w:szCs w:val="23"/>
        </w:rPr>
        <w:t xml:space="preserve"> el artículo 84 de esta Ley dice que «rige a partir del momento de su promulgación», es decir, desde el 31 de diciembre de 2020, sino además porque la misma disposición señala que la Ley 2069 de 2020 deroga «[…] todas las disposiciones que le sean contrarias». </w:t>
      </w:r>
      <w:r w:rsidR="2F1852C9" w:rsidRPr="6CB76B80">
        <w:rPr>
          <w:rFonts w:ascii="Arial" w:eastAsia="Arial" w:hAnsi="Arial" w:cs="Arial"/>
          <w:color w:val="000000" w:themeColor="text1"/>
          <w:sz w:val="23"/>
          <w:szCs w:val="23"/>
        </w:rPr>
        <w:t>Así</w:t>
      </w:r>
      <w:r w:rsidRPr="6CB76B80">
        <w:rPr>
          <w:rFonts w:ascii="Arial" w:eastAsia="Arial" w:hAnsi="Arial" w:cs="Arial"/>
          <w:color w:val="000000" w:themeColor="text1"/>
          <w:sz w:val="23"/>
          <w:szCs w:val="23"/>
        </w:rPr>
        <w:t xml:space="preserve">, </w:t>
      </w:r>
      <w:r>
        <w:rPr>
          <w:rFonts w:ascii="Arial" w:eastAsia="Arial" w:hAnsi="Arial" w:cs="Arial"/>
          <w:sz w:val="23"/>
          <w:szCs w:val="23"/>
        </w:rPr>
        <w:t>s</w:t>
      </w:r>
      <w:r w:rsidRPr="6CB76B80">
        <w:rPr>
          <w:rFonts w:ascii="Arial" w:eastAsia="Arial" w:hAnsi="Arial" w:cs="Arial"/>
          <w:color w:val="000000" w:themeColor="text1"/>
          <w:sz w:val="23"/>
          <w:szCs w:val="23"/>
        </w:rPr>
        <w:t xml:space="preserve">e presenta una antinomia o contradicción normativa cuando dos o más disposiciones regulan en sentido diferente un tema. Bajo esta consideración, como el artículo 35 de la Ley 2069 de 2020 regula </w:t>
      </w:r>
      <w:r w:rsidR="784D0B63" w:rsidRPr="6CB76B80">
        <w:rPr>
          <w:rFonts w:ascii="Arial" w:eastAsia="Arial" w:hAnsi="Arial" w:cs="Arial"/>
          <w:color w:val="000000" w:themeColor="text1"/>
          <w:sz w:val="23"/>
          <w:szCs w:val="23"/>
        </w:rPr>
        <w:t xml:space="preserve">la aplicación de los factores de desempate </w:t>
      </w:r>
      <w:r w:rsidRPr="6CB76B80">
        <w:rPr>
          <w:rFonts w:ascii="Arial" w:eastAsia="Arial" w:hAnsi="Arial" w:cs="Arial"/>
          <w:color w:val="000000" w:themeColor="text1"/>
          <w:sz w:val="23"/>
          <w:szCs w:val="23"/>
        </w:rPr>
        <w:t xml:space="preserve">en forma distinta a como lo hacía el artículo 2.2.1.1.2.2.9. del Decreto 1082 de 2015, este último debe entenderse derogado. </w:t>
      </w:r>
    </w:p>
    <w:p w14:paraId="00000038" w14:textId="77777777" w:rsidR="008477E2" w:rsidRDefault="008477E2">
      <w:pPr>
        <w:pStyle w:val="Normal0"/>
        <w:spacing w:after="0" w:line="240" w:lineRule="auto"/>
        <w:ind w:right="51"/>
        <w:jc w:val="both"/>
        <w:rPr>
          <w:rFonts w:ascii="Arial" w:eastAsia="Arial" w:hAnsi="Arial" w:cs="Arial"/>
          <w:color w:val="000000"/>
          <w:sz w:val="23"/>
          <w:szCs w:val="23"/>
        </w:rPr>
      </w:pPr>
    </w:p>
    <w:p w14:paraId="00000039" w14:textId="55A4F305" w:rsidR="008477E2" w:rsidRDefault="7B74DFF2">
      <w:pPr>
        <w:pStyle w:val="Normal0"/>
        <w:spacing w:after="0" w:line="240" w:lineRule="auto"/>
        <w:ind w:right="51"/>
        <w:jc w:val="both"/>
        <w:rPr>
          <w:rFonts w:ascii="Arial" w:eastAsia="Arial" w:hAnsi="Arial" w:cs="Arial"/>
          <w:color w:val="000000"/>
          <w:sz w:val="23"/>
          <w:szCs w:val="23"/>
        </w:rPr>
      </w:pPr>
      <w:bookmarkStart w:id="3" w:name="_heading=h.30j0zll"/>
      <w:bookmarkEnd w:id="3"/>
      <w:r w:rsidRPr="7B74DFF2">
        <w:rPr>
          <w:rFonts w:ascii="Arial" w:eastAsia="Arial" w:hAnsi="Arial" w:cs="Arial"/>
          <w:color w:val="000000" w:themeColor="text1"/>
          <w:sz w:val="23"/>
          <w:szCs w:val="23"/>
        </w:rPr>
        <w:t>Un argumento adicional para sostener est</w:t>
      </w:r>
      <w:r w:rsidRPr="7B74DFF2">
        <w:rPr>
          <w:rFonts w:ascii="Arial" w:eastAsia="Arial" w:hAnsi="Arial" w:cs="Arial"/>
          <w:sz w:val="23"/>
          <w:szCs w:val="23"/>
        </w:rPr>
        <w:t>e postulado</w:t>
      </w:r>
      <w:r w:rsidRPr="7B74DFF2">
        <w:rPr>
          <w:rFonts w:ascii="Arial" w:eastAsia="Arial" w:hAnsi="Arial" w:cs="Arial"/>
          <w:color w:val="000000" w:themeColor="text1"/>
          <w:sz w:val="23"/>
          <w:szCs w:val="23"/>
        </w:rPr>
        <w:t xml:space="preserve"> tiene que ver con el fenómeno de la pérdida de fuerza ejecutoria –o decaimiento– de los actos administrativos, regulado en el numeral 2 del artículo 91 de la Ley 1437 de 2011. Esta norma señala que los actos administrativos pierden fuerza ejecutoria «Cuando desaparezcan sus fundamentos de hecho o de derecho». Dado que el Decreto 1082 de 2015 es un reglamento </w:t>
      </w:r>
      <w:proofErr w:type="spellStart"/>
      <w:r w:rsidRPr="7B74DFF2">
        <w:rPr>
          <w:rFonts w:ascii="Arial" w:eastAsia="Arial" w:hAnsi="Arial" w:cs="Arial"/>
          <w:i/>
          <w:iCs/>
          <w:color w:val="000000" w:themeColor="text1"/>
          <w:sz w:val="23"/>
          <w:szCs w:val="23"/>
        </w:rPr>
        <w:t>secundum</w:t>
      </w:r>
      <w:proofErr w:type="spellEnd"/>
      <w:r w:rsidRPr="7B74DFF2">
        <w:rPr>
          <w:rFonts w:ascii="Arial" w:eastAsia="Arial" w:hAnsi="Arial" w:cs="Arial"/>
          <w:i/>
          <w:iCs/>
          <w:color w:val="000000" w:themeColor="text1"/>
          <w:sz w:val="23"/>
          <w:szCs w:val="23"/>
        </w:rPr>
        <w:t xml:space="preserve"> </w:t>
      </w:r>
      <w:proofErr w:type="spellStart"/>
      <w:r w:rsidRPr="7B74DFF2">
        <w:rPr>
          <w:rFonts w:ascii="Arial" w:eastAsia="Arial" w:hAnsi="Arial" w:cs="Arial"/>
          <w:i/>
          <w:iCs/>
          <w:color w:val="000000" w:themeColor="text1"/>
          <w:sz w:val="23"/>
          <w:szCs w:val="23"/>
        </w:rPr>
        <w:t>legem</w:t>
      </w:r>
      <w:proofErr w:type="spellEnd"/>
      <w:r w:rsidRPr="7B74DFF2">
        <w:rPr>
          <w:rFonts w:ascii="Arial" w:eastAsia="Arial" w:hAnsi="Arial" w:cs="Arial"/>
          <w:color w:val="000000" w:themeColor="text1"/>
          <w:sz w:val="23"/>
          <w:szCs w:val="23"/>
        </w:rPr>
        <w:t xml:space="preserve"> –es decir, que desarrolla una norma de mayor jerarquía–, la expedición de una ley en sentido formal –es decir, una fuente que condiciona el contenido de este último–, hace que la disposición reglamentaria decaiga</w:t>
      </w:r>
      <w:r w:rsidR="6D60AA81" w:rsidRPr="6CB76B80">
        <w:rPr>
          <w:rFonts w:ascii="Arial" w:eastAsia="Arial" w:hAnsi="Arial" w:cs="Arial"/>
          <w:color w:val="000000" w:themeColor="text1"/>
          <w:sz w:val="23"/>
          <w:szCs w:val="23"/>
        </w:rPr>
        <w:t>.</w:t>
      </w:r>
    </w:p>
    <w:p w14:paraId="0000003A" w14:textId="77777777" w:rsidR="008477E2" w:rsidRDefault="008477E2">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00D36CDE" w14:textId="6D949A83" w:rsidR="008C7AC8" w:rsidRPr="00C06419" w:rsidRDefault="1BA6BAD4">
      <w:pPr>
        <w:pStyle w:val="Normal0"/>
        <w:pBdr>
          <w:top w:val="nil"/>
          <w:left w:val="nil"/>
          <w:bottom w:val="nil"/>
          <w:right w:val="nil"/>
          <w:between w:val="nil"/>
        </w:pBdr>
        <w:spacing w:after="0" w:line="240" w:lineRule="auto"/>
        <w:ind w:right="51"/>
        <w:jc w:val="both"/>
        <w:rPr>
          <w:rFonts w:ascii="Arial" w:eastAsia="Arial" w:hAnsi="Arial" w:cs="Arial"/>
          <w:sz w:val="23"/>
          <w:szCs w:val="23"/>
        </w:rPr>
      </w:pPr>
      <w:r w:rsidRPr="6CB76B80">
        <w:rPr>
          <w:rFonts w:ascii="Arial" w:eastAsia="Arial" w:hAnsi="Arial" w:cs="Arial"/>
          <w:sz w:val="23"/>
          <w:szCs w:val="23"/>
        </w:rPr>
        <w:t>Por tanto</w:t>
      </w:r>
      <w:r w:rsidR="00204519">
        <w:rPr>
          <w:rFonts w:ascii="Arial" w:eastAsia="Arial" w:hAnsi="Arial" w:cs="Arial"/>
          <w:sz w:val="23"/>
          <w:szCs w:val="23"/>
        </w:rPr>
        <w:t xml:space="preserve">, la adecuación y modificación de los criterios de desempate en los documentos tipo adoptados por la Agencia Nacional de Contratación Pública – Colombia Compra Eficiente, resulta necesaria, toda vez que estos se </w:t>
      </w:r>
      <w:r w:rsidR="5D528DC9" w:rsidRPr="6CB76B80">
        <w:rPr>
          <w:rFonts w:ascii="Arial" w:eastAsia="Arial" w:hAnsi="Arial" w:cs="Arial"/>
          <w:sz w:val="23"/>
          <w:szCs w:val="23"/>
        </w:rPr>
        <w:t>fundamentan</w:t>
      </w:r>
      <w:r w:rsidR="00204519">
        <w:rPr>
          <w:rFonts w:ascii="Arial" w:eastAsia="Arial" w:hAnsi="Arial" w:cs="Arial"/>
          <w:sz w:val="23"/>
          <w:szCs w:val="23"/>
        </w:rPr>
        <w:t xml:space="preserve"> en el artículo 2.2.1.1.2.2.9 del Decreto 1082 de 2015, que </w:t>
      </w:r>
      <w:r w:rsidR="19C7806F" w:rsidRPr="6CB76B80">
        <w:rPr>
          <w:rFonts w:ascii="Arial" w:eastAsia="Arial" w:hAnsi="Arial" w:cs="Arial"/>
          <w:sz w:val="23"/>
          <w:szCs w:val="23"/>
        </w:rPr>
        <w:t>fue</w:t>
      </w:r>
      <w:r w:rsidR="00204519">
        <w:rPr>
          <w:rFonts w:ascii="Arial" w:eastAsia="Arial" w:hAnsi="Arial" w:cs="Arial"/>
          <w:sz w:val="23"/>
          <w:szCs w:val="23"/>
        </w:rPr>
        <w:t xml:space="preserve"> derogado por el artículo 35 de la Ley 2069 de 2020.</w:t>
      </w:r>
    </w:p>
    <w:p w14:paraId="0000003C" w14:textId="25272F6E" w:rsidR="008477E2" w:rsidRDefault="008477E2">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6B534428" w14:textId="6E11E471" w:rsidR="00542A0E" w:rsidRDefault="001F0D1B" w:rsidP="00EB0CB0">
      <w:pPr>
        <w:pStyle w:val="Normal0"/>
        <w:pBdr>
          <w:top w:val="nil"/>
          <w:left w:val="nil"/>
          <w:bottom w:val="nil"/>
          <w:right w:val="nil"/>
          <w:between w:val="nil"/>
        </w:pBdr>
        <w:spacing w:after="0" w:line="240" w:lineRule="auto"/>
        <w:ind w:right="51"/>
        <w:rPr>
          <w:rFonts w:ascii="Arial" w:eastAsia="Arial" w:hAnsi="Arial" w:cs="Arial"/>
          <w:b/>
          <w:bCs/>
          <w:sz w:val="23"/>
          <w:szCs w:val="23"/>
        </w:rPr>
      </w:pPr>
      <w:r w:rsidRPr="00DD1B72">
        <w:rPr>
          <w:rFonts w:ascii="Arial" w:eastAsia="Arial" w:hAnsi="Arial" w:cs="Arial"/>
          <w:b/>
          <w:bCs/>
          <w:sz w:val="23"/>
          <w:szCs w:val="23"/>
        </w:rPr>
        <w:t xml:space="preserve">2.2 </w:t>
      </w:r>
      <w:r w:rsidR="00EB0CB0">
        <w:rPr>
          <w:rFonts w:ascii="Arial" w:eastAsia="Arial" w:hAnsi="Arial" w:cs="Arial"/>
          <w:b/>
          <w:bCs/>
          <w:sz w:val="23"/>
          <w:szCs w:val="23"/>
        </w:rPr>
        <w:t>Modificación – «Matriz 1 – Experiencia» y «Anexo 3 – Glosario»</w:t>
      </w:r>
      <w:r w:rsidR="00E1683A">
        <w:rPr>
          <w:rFonts w:ascii="Arial" w:eastAsia="Arial" w:hAnsi="Arial" w:cs="Arial"/>
          <w:b/>
          <w:bCs/>
          <w:sz w:val="23"/>
          <w:szCs w:val="23"/>
        </w:rPr>
        <w:t xml:space="preserve"> en los documentos tipo de obra pública del sector </w:t>
      </w:r>
      <w:r w:rsidR="002F49D9">
        <w:rPr>
          <w:rFonts w:ascii="Arial" w:eastAsia="Arial" w:hAnsi="Arial" w:cs="Arial"/>
          <w:b/>
          <w:bCs/>
          <w:sz w:val="23"/>
          <w:szCs w:val="23"/>
        </w:rPr>
        <w:t>de transporte</w:t>
      </w:r>
    </w:p>
    <w:p w14:paraId="44385035" w14:textId="3F69CEBB" w:rsidR="00EB0CB0" w:rsidRDefault="00EB0CB0" w:rsidP="00EB0CB0">
      <w:pPr>
        <w:pStyle w:val="Normal0"/>
        <w:pBdr>
          <w:top w:val="nil"/>
          <w:left w:val="nil"/>
          <w:bottom w:val="nil"/>
          <w:right w:val="nil"/>
          <w:between w:val="nil"/>
        </w:pBdr>
        <w:spacing w:after="0" w:line="240" w:lineRule="auto"/>
        <w:ind w:right="51"/>
        <w:rPr>
          <w:rFonts w:ascii="Arial" w:eastAsia="Arial" w:hAnsi="Arial" w:cs="Arial"/>
          <w:b/>
          <w:bCs/>
          <w:sz w:val="23"/>
          <w:szCs w:val="23"/>
        </w:rPr>
      </w:pPr>
    </w:p>
    <w:p w14:paraId="344F0A0F" w14:textId="514EFD35" w:rsidR="00570C1D" w:rsidRDefault="002B43B3"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r>
        <w:rPr>
          <w:rFonts w:ascii="Arial" w:eastAsia="Arial" w:hAnsi="Arial" w:cs="Arial"/>
          <w:sz w:val="23"/>
          <w:szCs w:val="23"/>
        </w:rPr>
        <w:t xml:space="preserve">De acuerdo con lo </w:t>
      </w:r>
      <w:r w:rsidR="003F38CE">
        <w:rPr>
          <w:rFonts w:ascii="Arial" w:eastAsia="Arial" w:hAnsi="Arial" w:cs="Arial"/>
          <w:sz w:val="23"/>
          <w:szCs w:val="23"/>
        </w:rPr>
        <w:t>previsto</w:t>
      </w:r>
      <w:r>
        <w:rPr>
          <w:rFonts w:ascii="Arial" w:eastAsia="Arial" w:hAnsi="Arial" w:cs="Arial"/>
          <w:sz w:val="23"/>
          <w:szCs w:val="23"/>
        </w:rPr>
        <w:t xml:space="preserve"> en la Resolución 160 de 2020</w:t>
      </w:r>
      <w:r w:rsidR="00856D5A">
        <w:rPr>
          <w:rFonts w:ascii="Arial" w:eastAsia="Arial" w:hAnsi="Arial" w:cs="Arial"/>
          <w:sz w:val="23"/>
          <w:szCs w:val="23"/>
        </w:rPr>
        <w:t xml:space="preserve">, </w:t>
      </w:r>
      <w:r w:rsidR="00856D5A" w:rsidRPr="00DD1B72">
        <w:rPr>
          <w:rFonts w:ascii="Arial" w:eastAsia="Arial" w:hAnsi="Arial" w:cs="Arial"/>
          <w:i/>
          <w:iCs/>
          <w:sz w:val="23"/>
          <w:szCs w:val="23"/>
        </w:rPr>
        <w:t>«Por la cual se adopta el procedimiento para implementar los documentos tipo y se define el sistema para su revisión</w:t>
      </w:r>
      <w:r w:rsidR="00856D5A">
        <w:rPr>
          <w:rFonts w:ascii="Arial" w:eastAsia="Arial" w:hAnsi="Arial" w:cs="Arial"/>
          <w:sz w:val="23"/>
          <w:szCs w:val="23"/>
        </w:rPr>
        <w:t>»</w:t>
      </w:r>
      <w:r w:rsidR="005473D7">
        <w:rPr>
          <w:rFonts w:ascii="Arial" w:eastAsia="Arial" w:hAnsi="Arial" w:cs="Arial"/>
          <w:sz w:val="23"/>
          <w:szCs w:val="23"/>
        </w:rPr>
        <w:t xml:space="preserve">, </w:t>
      </w:r>
      <w:r w:rsidR="00FA58DE">
        <w:rPr>
          <w:rFonts w:ascii="Arial" w:eastAsia="Arial" w:hAnsi="Arial" w:cs="Arial"/>
          <w:sz w:val="23"/>
          <w:szCs w:val="23"/>
        </w:rPr>
        <w:t xml:space="preserve">la Agencia modificará el </w:t>
      </w:r>
      <w:r w:rsidR="003F3C7E">
        <w:rPr>
          <w:rFonts w:ascii="Arial" w:eastAsia="Arial" w:hAnsi="Arial" w:cs="Arial"/>
          <w:sz w:val="23"/>
          <w:szCs w:val="23"/>
        </w:rPr>
        <w:t xml:space="preserve">contenido de los </w:t>
      </w:r>
      <w:r w:rsidR="00FA58DE">
        <w:rPr>
          <w:rFonts w:ascii="Arial" w:eastAsia="Arial" w:hAnsi="Arial" w:cs="Arial"/>
          <w:sz w:val="23"/>
          <w:szCs w:val="23"/>
        </w:rPr>
        <w:t>documento</w:t>
      </w:r>
      <w:r w:rsidR="003F3C7E">
        <w:rPr>
          <w:rFonts w:ascii="Arial" w:eastAsia="Arial" w:hAnsi="Arial" w:cs="Arial"/>
          <w:sz w:val="23"/>
          <w:szCs w:val="23"/>
        </w:rPr>
        <w:t>s</w:t>
      </w:r>
      <w:r w:rsidR="00FA58DE">
        <w:rPr>
          <w:rFonts w:ascii="Arial" w:eastAsia="Arial" w:hAnsi="Arial" w:cs="Arial"/>
          <w:sz w:val="23"/>
          <w:szCs w:val="23"/>
        </w:rPr>
        <w:t xml:space="preserve"> tipo</w:t>
      </w:r>
      <w:r w:rsidR="00BA7B39">
        <w:rPr>
          <w:rFonts w:ascii="Arial" w:eastAsia="Arial" w:hAnsi="Arial" w:cs="Arial"/>
          <w:sz w:val="23"/>
          <w:szCs w:val="23"/>
        </w:rPr>
        <w:t xml:space="preserve"> ante el cambio de circunstancias fácticas o jurídicas sobre las cuales se sustentaron la adopción de los documentos tipo o la identificación de </w:t>
      </w:r>
      <w:r w:rsidR="25AC242F" w:rsidRPr="6CB76B80">
        <w:rPr>
          <w:rFonts w:ascii="Arial" w:eastAsia="Arial" w:hAnsi="Arial" w:cs="Arial"/>
          <w:sz w:val="23"/>
          <w:szCs w:val="23"/>
        </w:rPr>
        <w:t>apartes o reglas que deban ser cambiadas y ajustadas</w:t>
      </w:r>
      <w:r w:rsidR="00F51AC2">
        <w:rPr>
          <w:rFonts w:ascii="Arial" w:eastAsia="Arial" w:hAnsi="Arial" w:cs="Arial"/>
          <w:sz w:val="23"/>
          <w:szCs w:val="23"/>
        </w:rPr>
        <w:t xml:space="preserve">. </w:t>
      </w:r>
      <w:r w:rsidR="2323B2F9" w:rsidRPr="6CB76B80">
        <w:rPr>
          <w:rFonts w:ascii="Arial" w:eastAsia="Arial" w:hAnsi="Arial" w:cs="Arial"/>
          <w:sz w:val="23"/>
          <w:szCs w:val="23"/>
        </w:rPr>
        <w:t xml:space="preserve">En </w:t>
      </w:r>
      <w:r w:rsidR="06BF92C0" w:rsidRPr="6CB76B80">
        <w:rPr>
          <w:rFonts w:ascii="Arial" w:eastAsia="Arial" w:hAnsi="Arial" w:cs="Arial"/>
          <w:sz w:val="23"/>
          <w:szCs w:val="23"/>
        </w:rPr>
        <w:t>e</w:t>
      </w:r>
      <w:r w:rsidR="29B7BB95" w:rsidRPr="6CB76B80">
        <w:rPr>
          <w:rFonts w:ascii="Arial" w:eastAsia="Arial" w:hAnsi="Arial" w:cs="Arial"/>
          <w:sz w:val="23"/>
          <w:szCs w:val="23"/>
        </w:rPr>
        <w:t xml:space="preserve">fecto, </w:t>
      </w:r>
      <w:r w:rsidR="00C779BE">
        <w:rPr>
          <w:rFonts w:ascii="Arial" w:eastAsia="Arial" w:hAnsi="Arial" w:cs="Arial"/>
          <w:sz w:val="23"/>
          <w:szCs w:val="23"/>
        </w:rPr>
        <w:t xml:space="preserve">de </w:t>
      </w:r>
      <w:r w:rsidR="00535507">
        <w:rPr>
          <w:rFonts w:ascii="Arial" w:eastAsia="Arial" w:hAnsi="Arial" w:cs="Arial"/>
          <w:sz w:val="23"/>
          <w:szCs w:val="23"/>
        </w:rPr>
        <w:t>las</w:t>
      </w:r>
      <w:r w:rsidR="00241AF0">
        <w:rPr>
          <w:rFonts w:ascii="Arial" w:eastAsia="Arial" w:hAnsi="Arial" w:cs="Arial"/>
          <w:sz w:val="23"/>
          <w:szCs w:val="23"/>
        </w:rPr>
        <w:t xml:space="preserve"> peticiones y observaciones realizadas por</w:t>
      </w:r>
      <w:r w:rsidR="00535507">
        <w:rPr>
          <w:rFonts w:ascii="Arial" w:eastAsia="Arial" w:hAnsi="Arial" w:cs="Arial"/>
          <w:sz w:val="23"/>
          <w:szCs w:val="23"/>
        </w:rPr>
        <w:t xml:space="preserve"> los ciudadanos y las entidades </w:t>
      </w:r>
      <w:r w:rsidR="008D7436">
        <w:rPr>
          <w:rFonts w:ascii="Arial" w:eastAsia="Arial" w:hAnsi="Arial" w:cs="Arial"/>
          <w:sz w:val="23"/>
          <w:szCs w:val="23"/>
        </w:rPr>
        <w:t xml:space="preserve">se identificaron </w:t>
      </w:r>
      <w:r w:rsidR="4683EDF7" w:rsidRPr="6CB76B80">
        <w:rPr>
          <w:rFonts w:ascii="Arial" w:eastAsia="Arial" w:hAnsi="Arial" w:cs="Arial"/>
          <w:sz w:val="23"/>
          <w:szCs w:val="23"/>
        </w:rPr>
        <w:t>algunos aspectos</w:t>
      </w:r>
      <w:r w:rsidR="008D7436">
        <w:rPr>
          <w:rFonts w:ascii="Arial" w:eastAsia="Arial" w:hAnsi="Arial" w:cs="Arial"/>
          <w:sz w:val="23"/>
          <w:szCs w:val="23"/>
        </w:rPr>
        <w:t xml:space="preserve"> </w:t>
      </w:r>
      <w:proofErr w:type="gramStart"/>
      <w:r w:rsidR="008D7436">
        <w:rPr>
          <w:rFonts w:ascii="Arial" w:eastAsia="Arial" w:hAnsi="Arial" w:cs="Arial"/>
          <w:sz w:val="23"/>
          <w:szCs w:val="23"/>
        </w:rPr>
        <w:t>en  la</w:t>
      </w:r>
      <w:proofErr w:type="gramEnd"/>
      <w:r w:rsidR="008D7436">
        <w:rPr>
          <w:rFonts w:ascii="Arial" w:eastAsia="Arial" w:hAnsi="Arial" w:cs="Arial"/>
          <w:sz w:val="23"/>
          <w:szCs w:val="23"/>
        </w:rPr>
        <w:t xml:space="preserve"> «Matriz 1 – Experiencia» y el «Anexo 3 – Glosario» de los d</w:t>
      </w:r>
      <w:r w:rsidR="003A6564">
        <w:rPr>
          <w:rFonts w:ascii="Arial" w:eastAsia="Arial" w:hAnsi="Arial" w:cs="Arial"/>
          <w:sz w:val="23"/>
          <w:szCs w:val="23"/>
        </w:rPr>
        <w:t>ocumentos tipo de obra pública de infraestructura de transporte</w:t>
      </w:r>
      <w:r w:rsidR="67AAFC6C" w:rsidRPr="6CB76B80">
        <w:rPr>
          <w:rFonts w:ascii="Arial" w:eastAsia="Arial" w:hAnsi="Arial" w:cs="Arial"/>
          <w:sz w:val="23"/>
          <w:szCs w:val="23"/>
        </w:rPr>
        <w:t xml:space="preserve"> que deberían ser modificados para fac</w:t>
      </w:r>
      <w:r w:rsidR="005C10C4">
        <w:rPr>
          <w:rFonts w:ascii="Arial" w:eastAsia="Arial" w:hAnsi="Arial" w:cs="Arial"/>
          <w:sz w:val="23"/>
          <w:szCs w:val="23"/>
        </w:rPr>
        <w:t>i</w:t>
      </w:r>
      <w:r w:rsidR="67AAFC6C" w:rsidRPr="6CB76B80">
        <w:rPr>
          <w:rFonts w:ascii="Arial" w:eastAsia="Arial" w:hAnsi="Arial" w:cs="Arial"/>
          <w:sz w:val="23"/>
          <w:szCs w:val="23"/>
        </w:rPr>
        <w:t>litar su implementación</w:t>
      </w:r>
      <w:r w:rsidR="003A6564">
        <w:rPr>
          <w:rFonts w:ascii="Arial" w:eastAsia="Arial" w:hAnsi="Arial" w:cs="Arial"/>
          <w:sz w:val="23"/>
          <w:szCs w:val="23"/>
        </w:rPr>
        <w:t xml:space="preserve">. </w:t>
      </w:r>
    </w:p>
    <w:p w14:paraId="0CB0054A" w14:textId="2E0C6655" w:rsidR="003A6564" w:rsidRDefault="003A6564"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2CBE84E0" w14:textId="108D0D05" w:rsidR="003A6564" w:rsidRDefault="003A6564"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43F6FB27" w14:textId="4081B093" w:rsidR="004705C8" w:rsidRDefault="00570C1D"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r>
        <w:rPr>
          <w:rFonts w:ascii="Arial" w:eastAsia="Arial" w:hAnsi="Arial" w:cs="Arial"/>
          <w:sz w:val="23"/>
          <w:szCs w:val="23"/>
        </w:rPr>
        <w:t xml:space="preserve">La Alcaldía de Medellín, </w:t>
      </w:r>
      <w:r w:rsidR="003A6564">
        <w:rPr>
          <w:rFonts w:ascii="Arial" w:eastAsia="Arial" w:hAnsi="Arial" w:cs="Arial"/>
          <w:sz w:val="23"/>
          <w:szCs w:val="23"/>
        </w:rPr>
        <w:t xml:space="preserve">mediante </w:t>
      </w:r>
      <w:r>
        <w:rPr>
          <w:rFonts w:ascii="Arial" w:eastAsia="Arial" w:hAnsi="Arial" w:cs="Arial"/>
          <w:sz w:val="23"/>
          <w:szCs w:val="23"/>
        </w:rPr>
        <w:t xml:space="preserve">el </w:t>
      </w:r>
      <w:r w:rsidR="007A28C5">
        <w:rPr>
          <w:rFonts w:ascii="Arial" w:eastAsia="Arial" w:hAnsi="Arial" w:cs="Arial"/>
          <w:sz w:val="23"/>
          <w:szCs w:val="23"/>
        </w:rPr>
        <w:t>r</w:t>
      </w:r>
      <w:r>
        <w:rPr>
          <w:rFonts w:ascii="Arial" w:eastAsia="Arial" w:hAnsi="Arial" w:cs="Arial"/>
          <w:sz w:val="23"/>
          <w:szCs w:val="23"/>
        </w:rPr>
        <w:t xml:space="preserve">adicado No. </w:t>
      </w:r>
      <w:r w:rsidR="008C5EB5">
        <w:rPr>
          <w:rFonts w:ascii="Arial" w:eastAsia="Arial" w:hAnsi="Arial" w:cs="Arial"/>
          <w:sz w:val="23"/>
          <w:szCs w:val="23"/>
        </w:rPr>
        <w:t>P2021</w:t>
      </w:r>
      <w:r w:rsidR="007E5156">
        <w:rPr>
          <w:rFonts w:ascii="Arial" w:eastAsia="Arial" w:hAnsi="Arial" w:cs="Arial"/>
          <w:sz w:val="23"/>
          <w:szCs w:val="23"/>
        </w:rPr>
        <w:t>0212001172</w:t>
      </w:r>
      <w:r w:rsidR="00C1152E">
        <w:rPr>
          <w:rFonts w:ascii="Arial" w:eastAsia="Arial" w:hAnsi="Arial" w:cs="Arial"/>
          <w:sz w:val="23"/>
          <w:szCs w:val="23"/>
        </w:rPr>
        <w:t xml:space="preserve">, </w:t>
      </w:r>
      <w:r w:rsidR="7E6B20BA" w:rsidRPr="6CB76B80">
        <w:rPr>
          <w:rFonts w:ascii="Arial" w:eastAsia="Arial" w:hAnsi="Arial" w:cs="Arial"/>
          <w:sz w:val="23"/>
          <w:szCs w:val="23"/>
        </w:rPr>
        <w:t>manifestó</w:t>
      </w:r>
      <w:r w:rsidR="00A67315">
        <w:rPr>
          <w:rFonts w:ascii="Arial" w:eastAsia="Arial" w:hAnsi="Arial" w:cs="Arial"/>
          <w:sz w:val="23"/>
          <w:szCs w:val="23"/>
        </w:rPr>
        <w:t xml:space="preserve"> que la</w:t>
      </w:r>
      <w:r w:rsidR="007B2944">
        <w:rPr>
          <w:rFonts w:ascii="Arial" w:eastAsia="Arial" w:hAnsi="Arial" w:cs="Arial"/>
          <w:sz w:val="23"/>
          <w:szCs w:val="23"/>
        </w:rPr>
        <w:t xml:space="preserve"> experiencia prevista </w:t>
      </w:r>
      <w:r w:rsidR="00A67315">
        <w:rPr>
          <w:rFonts w:ascii="Arial" w:eastAsia="Arial" w:hAnsi="Arial" w:cs="Arial"/>
          <w:sz w:val="23"/>
          <w:szCs w:val="23"/>
        </w:rPr>
        <w:t xml:space="preserve">en </w:t>
      </w:r>
      <w:r w:rsidR="007B2944">
        <w:rPr>
          <w:rFonts w:ascii="Arial" w:eastAsia="Arial" w:hAnsi="Arial" w:cs="Arial"/>
          <w:sz w:val="23"/>
          <w:szCs w:val="23"/>
        </w:rPr>
        <w:t xml:space="preserve">la </w:t>
      </w:r>
      <w:r w:rsidR="006712D4">
        <w:rPr>
          <w:rFonts w:ascii="Arial" w:eastAsia="Arial" w:hAnsi="Arial" w:cs="Arial"/>
          <w:sz w:val="23"/>
          <w:szCs w:val="23"/>
        </w:rPr>
        <w:t>«</w:t>
      </w:r>
      <w:r w:rsidR="007B2944">
        <w:rPr>
          <w:rFonts w:ascii="Arial" w:eastAsia="Arial" w:hAnsi="Arial" w:cs="Arial"/>
          <w:sz w:val="23"/>
          <w:szCs w:val="23"/>
        </w:rPr>
        <w:t>Matriz 1 – Experiencia</w:t>
      </w:r>
      <w:r w:rsidR="006712D4">
        <w:rPr>
          <w:rFonts w:ascii="Arial" w:eastAsia="Arial" w:hAnsi="Arial" w:cs="Arial"/>
          <w:sz w:val="23"/>
          <w:szCs w:val="23"/>
        </w:rPr>
        <w:t>»</w:t>
      </w:r>
      <w:r w:rsidR="007B2944">
        <w:rPr>
          <w:rFonts w:ascii="Arial" w:eastAsia="Arial" w:hAnsi="Arial" w:cs="Arial"/>
          <w:sz w:val="23"/>
          <w:szCs w:val="23"/>
        </w:rPr>
        <w:t xml:space="preserve"> en</w:t>
      </w:r>
      <w:r w:rsidR="006712D4">
        <w:rPr>
          <w:rFonts w:ascii="Arial" w:eastAsia="Arial" w:hAnsi="Arial" w:cs="Arial"/>
          <w:sz w:val="23"/>
          <w:szCs w:val="23"/>
        </w:rPr>
        <w:t xml:space="preserve"> </w:t>
      </w:r>
      <w:r w:rsidR="00A67315">
        <w:rPr>
          <w:rFonts w:ascii="Arial" w:eastAsia="Arial" w:hAnsi="Arial" w:cs="Arial"/>
          <w:sz w:val="23"/>
          <w:szCs w:val="23"/>
        </w:rPr>
        <w:t xml:space="preserve">los literales </w:t>
      </w:r>
      <w:r w:rsidR="009B2C3C">
        <w:rPr>
          <w:rFonts w:ascii="Arial" w:eastAsia="Arial" w:hAnsi="Arial" w:cs="Arial"/>
          <w:sz w:val="23"/>
          <w:szCs w:val="23"/>
        </w:rPr>
        <w:t>«</w:t>
      </w:r>
      <w:r w:rsidR="009B2C3C" w:rsidRPr="00DD1B72">
        <w:rPr>
          <w:rFonts w:ascii="Arial" w:eastAsia="Arial" w:hAnsi="Arial" w:cs="Arial"/>
          <w:sz w:val="23"/>
          <w:szCs w:val="23"/>
        </w:rPr>
        <w:t>6.13 Proyectos de demarcación o señalización (horizontal o vertical o semaforización) de espacio público asociado a la infraestructura de transporte» y «6.14 Proyectos de semaforización de espacio público asociado a la infraestructura de transporte»</w:t>
      </w:r>
      <w:r w:rsidR="006712D4">
        <w:rPr>
          <w:rFonts w:ascii="Arial" w:eastAsia="Arial" w:hAnsi="Arial" w:cs="Arial"/>
          <w:sz w:val="23"/>
          <w:szCs w:val="23"/>
        </w:rPr>
        <w:t xml:space="preserve"> </w:t>
      </w:r>
      <w:r w:rsidR="00954406">
        <w:rPr>
          <w:rFonts w:ascii="Arial" w:eastAsia="Arial" w:hAnsi="Arial" w:cs="Arial"/>
          <w:sz w:val="23"/>
          <w:szCs w:val="23"/>
        </w:rPr>
        <w:t xml:space="preserve">podría no tener </w:t>
      </w:r>
      <w:r w:rsidR="00F81269">
        <w:rPr>
          <w:rFonts w:ascii="Arial" w:eastAsia="Arial" w:hAnsi="Arial" w:cs="Arial"/>
          <w:sz w:val="23"/>
          <w:szCs w:val="23"/>
        </w:rPr>
        <w:t xml:space="preserve">el nivel de especificidad requerida. </w:t>
      </w:r>
      <w:r w:rsidR="00954406">
        <w:rPr>
          <w:rFonts w:ascii="Arial" w:eastAsia="Arial" w:hAnsi="Arial" w:cs="Arial"/>
          <w:sz w:val="23"/>
          <w:szCs w:val="23"/>
        </w:rPr>
        <w:t xml:space="preserve"> </w:t>
      </w:r>
      <w:r w:rsidR="002D7D84" w:rsidRPr="002D7D84">
        <w:rPr>
          <w:rFonts w:ascii="Arial" w:eastAsia="Arial" w:hAnsi="Arial" w:cs="Arial"/>
          <w:sz w:val="23"/>
          <w:szCs w:val="23"/>
        </w:rPr>
        <w:t xml:space="preserve">Lo anterior en la medida que los proponentes podrían contar con experiencia para realizar actividades de señalización y demarcación, sin contar con la experticia concreta para </w:t>
      </w:r>
      <w:r w:rsidR="713F5C3D" w:rsidRPr="6CB76B80">
        <w:rPr>
          <w:rFonts w:ascii="Arial" w:eastAsia="Arial" w:hAnsi="Arial" w:cs="Arial"/>
          <w:sz w:val="23"/>
          <w:szCs w:val="23"/>
        </w:rPr>
        <w:t>adelant</w:t>
      </w:r>
      <w:r w:rsidR="65B62490" w:rsidRPr="6CB76B80">
        <w:rPr>
          <w:rFonts w:ascii="Arial" w:eastAsia="Arial" w:hAnsi="Arial" w:cs="Arial"/>
          <w:sz w:val="23"/>
          <w:szCs w:val="23"/>
        </w:rPr>
        <w:t>ar</w:t>
      </w:r>
      <w:r w:rsidR="002D7D84" w:rsidRPr="002D7D84">
        <w:rPr>
          <w:rFonts w:ascii="Arial" w:eastAsia="Arial" w:hAnsi="Arial" w:cs="Arial"/>
          <w:sz w:val="23"/>
          <w:szCs w:val="23"/>
        </w:rPr>
        <w:t xml:space="preserve"> actividades particulares de semaforización, lo que </w:t>
      </w:r>
      <w:r w:rsidR="3D143D74" w:rsidRPr="6CB76B80">
        <w:rPr>
          <w:rFonts w:ascii="Arial" w:eastAsia="Arial" w:hAnsi="Arial" w:cs="Arial"/>
          <w:sz w:val="23"/>
          <w:szCs w:val="23"/>
        </w:rPr>
        <w:t>podría</w:t>
      </w:r>
      <w:r w:rsidR="65B62490" w:rsidRPr="6CB76B80">
        <w:rPr>
          <w:rFonts w:ascii="Arial" w:eastAsia="Arial" w:hAnsi="Arial" w:cs="Arial"/>
          <w:sz w:val="23"/>
          <w:szCs w:val="23"/>
        </w:rPr>
        <w:t xml:space="preserve"> resulta</w:t>
      </w:r>
      <w:r w:rsidR="584E2F43" w:rsidRPr="6CB76B80">
        <w:rPr>
          <w:rFonts w:ascii="Arial" w:eastAsia="Arial" w:hAnsi="Arial" w:cs="Arial"/>
          <w:sz w:val="23"/>
          <w:szCs w:val="23"/>
        </w:rPr>
        <w:t>r</w:t>
      </w:r>
      <w:r w:rsidR="002D7D84" w:rsidRPr="002D7D84">
        <w:rPr>
          <w:rFonts w:ascii="Arial" w:eastAsia="Arial" w:hAnsi="Arial" w:cs="Arial"/>
          <w:sz w:val="23"/>
          <w:szCs w:val="23"/>
        </w:rPr>
        <w:t xml:space="preserve"> insuficiente </w:t>
      </w:r>
      <w:r w:rsidR="7869ECD9" w:rsidRPr="6CB76B80">
        <w:rPr>
          <w:rFonts w:ascii="Arial" w:eastAsia="Arial" w:hAnsi="Arial" w:cs="Arial"/>
          <w:sz w:val="23"/>
          <w:szCs w:val="23"/>
        </w:rPr>
        <w:t>atendiendo</w:t>
      </w:r>
      <w:r w:rsidR="002D7D84" w:rsidRPr="002D7D84">
        <w:rPr>
          <w:rFonts w:ascii="Arial" w:eastAsia="Arial" w:hAnsi="Arial" w:cs="Arial"/>
          <w:sz w:val="23"/>
          <w:szCs w:val="23"/>
        </w:rPr>
        <w:t xml:space="preserve"> la complejidad de </w:t>
      </w:r>
      <w:r w:rsidR="65B62490" w:rsidRPr="6CB76B80">
        <w:rPr>
          <w:rFonts w:ascii="Arial" w:eastAsia="Arial" w:hAnsi="Arial" w:cs="Arial"/>
          <w:sz w:val="23"/>
          <w:szCs w:val="23"/>
        </w:rPr>
        <w:t>est</w:t>
      </w:r>
      <w:r w:rsidR="1B661C7D" w:rsidRPr="6CB76B80">
        <w:rPr>
          <w:rFonts w:ascii="Arial" w:eastAsia="Arial" w:hAnsi="Arial" w:cs="Arial"/>
          <w:sz w:val="23"/>
          <w:szCs w:val="23"/>
        </w:rPr>
        <w:t>e tipo de</w:t>
      </w:r>
      <w:r w:rsidR="002D7D84" w:rsidRPr="002D7D84">
        <w:rPr>
          <w:rFonts w:ascii="Arial" w:eastAsia="Arial" w:hAnsi="Arial" w:cs="Arial"/>
          <w:sz w:val="23"/>
          <w:szCs w:val="23"/>
        </w:rPr>
        <w:t xml:space="preserve"> procesos </w:t>
      </w:r>
      <w:r w:rsidR="49542DA8" w:rsidRPr="6CB76B80">
        <w:rPr>
          <w:rFonts w:ascii="Arial" w:eastAsia="Arial" w:hAnsi="Arial" w:cs="Arial"/>
          <w:sz w:val="23"/>
          <w:szCs w:val="23"/>
        </w:rPr>
        <w:t>y objetos contractuales</w:t>
      </w:r>
      <w:r w:rsidR="002D7D84" w:rsidRPr="002D7D84">
        <w:rPr>
          <w:rFonts w:ascii="Arial" w:eastAsia="Arial" w:hAnsi="Arial" w:cs="Arial"/>
          <w:sz w:val="23"/>
          <w:szCs w:val="23"/>
        </w:rPr>
        <w:t xml:space="preserve">. </w:t>
      </w:r>
    </w:p>
    <w:p w14:paraId="0382CD45" w14:textId="4C09863E" w:rsidR="00E86244" w:rsidRDefault="00E86244"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2B1DD704" w14:textId="5AE4F26F" w:rsidR="00B30090" w:rsidRDefault="00E86244"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r>
        <w:rPr>
          <w:rFonts w:ascii="Arial" w:eastAsia="Arial" w:hAnsi="Arial" w:cs="Arial"/>
          <w:sz w:val="23"/>
          <w:szCs w:val="23"/>
        </w:rPr>
        <w:t xml:space="preserve">Analizando </w:t>
      </w:r>
      <w:r w:rsidR="00E12F7C">
        <w:rPr>
          <w:rFonts w:ascii="Arial" w:eastAsia="Arial" w:hAnsi="Arial" w:cs="Arial"/>
          <w:sz w:val="23"/>
          <w:szCs w:val="23"/>
        </w:rPr>
        <w:t>dicha</w:t>
      </w:r>
      <w:r>
        <w:rPr>
          <w:rFonts w:ascii="Arial" w:eastAsia="Arial" w:hAnsi="Arial" w:cs="Arial"/>
          <w:sz w:val="23"/>
          <w:szCs w:val="23"/>
        </w:rPr>
        <w:t xml:space="preserve"> solicitud</w:t>
      </w:r>
      <w:r w:rsidR="00E12F7C">
        <w:rPr>
          <w:rFonts w:ascii="Arial" w:eastAsia="Arial" w:hAnsi="Arial" w:cs="Arial"/>
          <w:sz w:val="23"/>
          <w:szCs w:val="23"/>
        </w:rPr>
        <w:t>, la Agencia Nacional de Contratación Pública</w:t>
      </w:r>
      <w:r w:rsidR="007F5DAA">
        <w:rPr>
          <w:rFonts w:ascii="Arial" w:eastAsia="Arial" w:hAnsi="Arial" w:cs="Arial"/>
          <w:sz w:val="23"/>
          <w:szCs w:val="23"/>
        </w:rPr>
        <w:t xml:space="preserve"> considera </w:t>
      </w:r>
      <w:r w:rsidR="00B30090" w:rsidRPr="6CB76B80">
        <w:rPr>
          <w:rFonts w:ascii="Arial" w:eastAsia="Arial" w:hAnsi="Arial" w:cs="Arial"/>
          <w:sz w:val="23"/>
          <w:szCs w:val="23"/>
        </w:rPr>
        <w:t xml:space="preserve">procedente </w:t>
      </w:r>
      <w:r w:rsidR="120A4A07" w:rsidRPr="6CB76B80">
        <w:rPr>
          <w:rFonts w:ascii="Arial" w:eastAsia="Arial" w:hAnsi="Arial" w:cs="Arial"/>
          <w:sz w:val="23"/>
          <w:szCs w:val="23"/>
        </w:rPr>
        <w:t>ampliar</w:t>
      </w:r>
      <w:r w:rsidR="00B30090" w:rsidRPr="6CB76B80">
        <w:rPr>
          <w:rFonts w:ascii="Arial" w:eastAsia="Arial" w:hAnsi="Arial" w:cs="Arial"/>
          <w:sz w:val="23"/>
          <w:szCs w:val="23"/>
        </w:rPr>
        <w:t xml:space="preserve"> el alcance de la experiencia en aquellas actividades que se refieran a «Proyectos de demarcación o señalización (horizontal o vertical) en infraestructura de transporte, para concretar la experiencia en proyectos particulares de semaforización de forma independiente a los proyectos de señalización y/o demarcación, con la finalidad de asegurar la idoneidad de los futuros contratistas del Estado, propendiendo por una mejor ejecución de los contratos estatales. </w:t>
      </w:r>
    </w:p>
    <w:p w14:paraId="1ED11956" w14:textId="77777777" w:rsidR="00601972" w:rsidRDefault="00601972"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135D3F63" w14:textId="2D255BF6" w:rsidR="00F33727" w:rsidRPr="00DD1B72" w:rsidRDefault="00065A57"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r>
        <w:rPr>
          <w:rFonts w:ascii="Arial" w:eastAsia="Arial" w:hAnsi="Arial" w:cs="Arial"/>
          <w:sz w:val="23"/>
          <w:szCs w:val="23"/>
        </w:rPr>
        <w:t xml:space="preserve">Uno de los principales </w:t>
      </w:r>
      <w:r w:rsidR="00601972">
        <w:rPr>
          <w:rFonts w:ascii="Arial" w:eastAsia="Arial" w:hAnsi="Arial" w:cs="Arial"/>
          <w:sz w:val="23"/>
          <w:szCs w:val="23"/>
        </w:rPr>
        <w:t>propósitos que tiene la Agencia Nacional de Contratación Pública en adoptar documentos tipo es crear condiciones que promuevan la pluralidad de oferentes, pero</w:t>
      </w:r>
      <w:r w:rsidR="00F718C1">
        <w:rPr>
          <w:rFonts w:ascii="Arial" w:eastAsia="Arial" w:hAnsi="Arial" w:cs="Arial"/>
          <w:sz w:val="23"/>
          <w:szCs w:val="23"/>
        </w:rPr>
        <w:t>,</w:t>
      </w:r>
      <w:r w:rsidR="00601972">
        <w:rPr>
          <w:rFonts w:ascii="Arial" w:eastAsia="Arial" w:hAnsi="Arial" w:cs="Arial"/>
          <w:sz w:val="23"/>
          <w:szCs w:val="23"/>
        </w:rPr>
        <w:t xml:space="preserve"> además, que garantice</w:t>
      </w:r>
      <w:r w:rsidR="00435A90">
        <w:rPr>
          <w:rFonts w:ascii="Arial" w:eastAsia="Arial" w:hAnsi="Arial" w:cs="Arial"/>
          <w:sz w:val="23"/>
          <w:szCs w:val="23"/>
        </w:rPr>
        <w:t>n</w:t>
      </w:r>
      <w:r w:rsidR="00601972">
        <w:rPr>
          <w:rFonts w:ascii="Arial" w:eastAsia="Arial" w:hAnsi="Arial" w:cs="Arial"/>
          <w:sz w:val="23"/>
          <w:szCs w:val="23"/>
        </w:rPr>
        <w:t xml:space="preserve"> la idoneidad </w:t>
      </w:r>
      <w:r w:rsidR="00D701E1">
        <w:rPr>
          <w:rFonts w:ascii="Arial" w:eastAsia="Arial" w:hAnsi="Arial" w:cs="Arial"/>
          <w:sz w:val="23"/>
          <w:szCs w:val="23"/>
        </w:rPr>
        <w:t xml:space="preserve">del contratista en la ejecución del proyecto. </w:t>
      </w:r>
      <w:r w:rsidR="4220B7A7" w:rsidRPr="6CB76B80">
        <w:rPr>
          <w:rFonts w:ascii="Arial" w:eastAsia="Arial" w:hAnsi="Arial" w:cs="Arial"/>
          <w:sz w:val="23"/>
          <w:szCs w:val="23"/>
        </w:rPr>
        <w:t>S</w:t>
      </w:r>
      <w:r w:rsidR="3B7ECF62" w:rsidRPr="6CB76B80">
        <w:rPr>
          <w:rFonts w:ascii="Arial" w:eastAsia="Arial" w:hAnsi="Arial" w:cs="Arial"/>
          <w:sz w:val="23"/>
          <w:szCs w:val="23"/>
        </w:rPr>
        <w:t>in</w:t>
      </w:r>
      <w:r w:rsidR="00D701E1">
        <w:rPr>
          <w:rFonts w:ascii="Arial" w:eastAsia="Arial" w:hAnsi="Arial" w:cs="Arial"/>
          <w:sz w:val="23"/>
          <w:szCs w:val="23"/>
        </w:rPr>
        <w:t xml:space="preserve"> duda, </w:t>
      </w:r>
      <w:r w:rsidR="17D8951E" w:rsidRPr="6CB76B80">
        <w:rPr>
          <w:rFonts w:ascii="Arial" w:eastAsia="Arial" w:hAnsi="Arial" w:cs="Arial"/>
          <w:sz w:val="23"/>
          <w:szCs w:val="23"/>
        </w:rPr>
        <w:t xml:space="preserve">consideramos que </w:t>
      </w:r>
      <w:r w:rsidR="1F9A310F" w:rsidRPr="6CB76B80">
        <w:rPr>
          <w:rFonts w:ascii="Arial" w:eastAsia="Arial" w:hAnsi="Arial" w:cs="Arial"/>
          <w:sz w:val="23"/>
          <w:szCs w:val="23"/>
        </w:rPr>
        <w:t>modificar</w:t>
      </w:r>
      <w:r w:rsidR="00D701E1">
        <w:rPr>
          <w:rFonts w:ascii="Arial" w:eastAsia="Arial" w:hAnsi="Arial" w:cs="Arial"/>
          <w:sz w:val="23"/>
          <w:szCs w:val="23"/>
        </w:rPr>
        <w:t xml:space="preserve"> el alcance de la «Matriz 1 – Experiencia» en </w:t>
      </w:r>
      <w:r w:rsidR="5927E622" w:rsidRPr="6CB76B80">
        <w:rPr>
          <w:rFonts w:ascii="Arial" w:eastAsia="Arial" w:hAnsi="Arial" w:cs="Arial"/>
          <w:sz w:val="23"/>
          <w:szCs w:val="23"/>
        </w:rPr>
        <w:t xml:space="preserve">el sentido antes señalado contribuirá </w:t>
      </w:r>
      <w:r w:rsidR="5524471A" w:rsidRPr="6CB76B80">
        <w:rPr>
          <w:rFonts w:ascii="Arial" w:eastAsia="Arial" w:hAnsi="Arial" w:cs="Arial"/>
          <w:sz w:val="23"/>
          <w:szCs w:val="23"/>
        </w:rPr>
        <w:t>con esos objetivos</w:t>
      </w:r>
      <w:r w:rsidR="5927E622" w:rsidRPr="6CB76B80">
        <w:rPr>
          <w:rFonts w:ascii="Arial" w:eastAsia="Arial" w:hAnsi="Arial" w:cs="Arial"/>
          <w:sz w:val="23"/>
          <w:szCs w:val="23"/>
        </w:rPr>
        <w:t>, particular</w:t>
      </w:r>
      <w:r w:rsidR="146DEFC8" w:rsidRPr="6CB76B80">
        <w:rPr>
          <w:rFonts w:ascii="Arial" w:eastAsia="Arial" w:hAnsi="Arial" w:cs="Arial"/>
          <w:sz w:val="23"/>
          <w:szCs w:val="23"/>
        </w:rPr>
        <w:t>mente en lo que se refiere</w:t>
      </w:r>
      <w:r w:rsidR="5927E622" w:rsidRPr="6CB76B80">
        <w:rPr>
          <w:rFonts w:ascii="Arial" w:eastAsia="Arial" w:hAnsi="Arial" w:cs="Arial"/>
          <w:sz w:val="23"/>
          <w:szCs w:val="23"/>
        </w:rPr>
        <w:t xml:space="preserve"> </w:t>
      </w:r>
      <w:r w:rsidR="094A9CD5" w:rsidRPr="6CB76B80">
        <w:rPr>
          <w:rFonts w:ascii="Arial" w:eastAsia="Arial" w:hAnsi="Arial" w:cs="Arial"/>
          <w:sz w:val="23"/>
          <w:szCs w:val="23"/>
        </w:rPr>
        <w:t>a</w:t>
      </w:r>
      <w:r w:rsidR="3B7ECF62" w:rsidRPr="6CB76B80">
        <w:rPr>
          <w:rFonts w:ascii="Arial" w:eastAsia="Arial" w:hAnsi="Arial" w:cs="Arial"/>
          <w:sz w:val="23"/>
          <w:szCs w:val="23"/>
        </w:rPr>
        <w:t xml:space="preserve"> las actividades </w:t>
      </w:r>
      <w:r w:rsidR="6DAABB0D" w:rsidRPr="6CB76B80">
        <w:rPr>
          <w:rFonts w:ascii="Arial" w:eastAsia="Arial" w:hAnsi="Arial" w:cs="Arial"/>
          <w:sz w:val="23"/>
          <w:szCs w:val="23"/>
        </w:rPr>
        <w:t xml:space="preserve">previstas en los </w:t>
      </w:r>
      <w:r w:rsidR="5F0B6771" w:rsidRPr="6CB76B80">
        <w:rPr>
          <w:rFonts w:ascii="Arial" w:eastAsia="Arial" w:hAnsi="Arial" w:cs="Arial"/>
          <w:sz w:val="23"/>
          <w:szCs w:val="23"/>
        </w:rPr>
        <w:t>siguientes</w:t>
      </w:r>
      <w:r w:rsidR="00F718C1">
        <w:rPr>
          <w:rFonts w:ascii="Arial" w:eastAsia="Arial" w:hAnsi="Arial" w:cs="Arial"/>
          <w:sz w:val="23"/>
          <w:szCs w:val="23"/>
        </w:rPr>
        <w:t xml:space="preserve"> literales</w:t>
      </w:r>
      <w:r w:rsidR="00C85D40">
        <w:rPr>
          <w:rFonts w:ascii="Arial" w:eastAsia="Arial" w:hAnsi="Arial" w:cs="Arial"/>
          <w:sz w:val="23"/>
          <w:szCs w:val="23"/>
        </w:rPr>
        <w:t>: «1.4 Proyectos de d</w:t>
      </w:r>
      <w:r w:rsidR="00CB05B7">
        <w:rPr>
          <w:rFonts w:ascii="Arial" w:eastAsia="Arial" w:hAnsi="Arial" w:cs="Arial"/>
          <w:sz w:val="23"/>
          <w:szCs w:val="23"/>
        </w:rPr>
        <w:t>emarcación o señalización (</w:t>
      </w:r>
      <w:r w:rsidR="005367D6">
        <w:rPr>
          <w:rFonts w:ascii="Arial" w:eastAsia="Arial" w:hAnsi="Arial" w:cs="Arial"/>
          <w:sz w:val="23"/>
          <w:szCs w:val="23"/>
        </w:rPr>
        <w:t>h</w:t>
      </w:r>
      <w:r w:rsidR="00CB05B7">
        <w:rPr>
          <w:rFonts w:ascii="Arial" w:eastAsia="Arial" w:hAnsi="Arial" w:cs="Arial"/>
          <w:sz w:val="23"/>
          <w:szCs w:val="23"/>
        </w:rPr>
        <w:t xml:space="preserve">orizontal o vertical) de infraestructura de transporte», «1.5 Proyectos de demarcación </w:t>
      </w:r>
      <w:r w:rsidR="005367D6">
        <w:rPr>
          <w:rFonts w:ascii="Arial" w:eastAsia="Arial" w:hAnsi="Arial" w:cs="Arial"/>
          <w:sz w:val="23"/>
          <w:szCs w:val="23"/>
        </w:rPr>
        <w:t xml:space="preserve">o señalización (horizontal o vertical) de espacio público asociado a la infraestructura de transporte», </w:t>
      </w:r>
      <w:r w:rsidR="002163E2">
        <w:rPr>
          <w:rFonts w:ascii="Arial" w:eastAsia="Arial" w:hAnsi="Arial" w:cs="Arial"/>
          <w:sz w:val="23"/>
          <w:szCs w:val="23"/>
        </w:rPr>
        <w:t>«2.4 Proyectos de señalización y/o demarcación de vías terciarías»</w:t>
      </w:r>
      <w:r w:rsidR="00124A36">
        <w:rPr>
          <w:rFonts w:ascii="Arial" w:eastAsia="Arial" w:hAnsi="Arial" w:cs="Arial"/>
          <w:sz w:val="23"/>
          <w:szCs w:val="23"/>
        </w:rPr>
        <w:t>, «6.12 Proyectos de construcción o mejoramiento u optimización o adecuación o instalación o expansión de intersecciones semaforizadas vehiculares»</w:t>
      </w:r>
      <w:r w:rsidR="0020705F">
        <w:rPr>
          <w:rFonts w:ascii="Arial" w:eastAsia="Arial" w:hAnsi="Arial" w:cs="Arial"/>
          <w:sz w:val="23"/>
          <w:szCs w:val="23"/>
        </w:rPr>
        <w:t>, «</w:t>
      </w:r>
      <w:r w:rsidR="0020705F" w:rsidRPr="0020705F">
        <w:rPr>
          <w:rFonts w:ascii="Arial" w:eastAsia="Arial" w:hAnsi="Arial" w:cs="Arial"/>
          <w:sz w:val="23"/>
          <w:szCs w:val="23"/>
        </w:rPr>
        <w:t xml:space="preserve">6.13 </w:t>
      </w:r>
      <w:r w:rsidR="0020705F" w:rsidRPr="00DD1B72">
        <w:rPr>
          <w:rFonts w:ascii="Arial" w:eastAsia="Arial" w:hAnsi="Arial" w:cs="Arial"/>
          <w:sz w:val="23"/>
          <w:szCs w:val="23"/>
        </w:rPr>
        <w:t>Proyectos de mantenimiento  u optimización o adecuación o instalación o expansión de intersecciones semaforizadas vehiculares», «6.14 Proyectos de construcción o mejoramiento u optimización o adecuación o instalación o expansión de intersecciones semaforizadas peatonales»</w:t>
      </w:r>
      <w:r w:rsidR="00D84110" w:rsidRPr="00DD1B72">
        <w:rPr>
          <w:rFonts w:ascii="Arial" w:eastAsia="Arial" w:hAnsi="Arial" w:cs="Arial"/>
          <w:sz w:val="23"/>
          <w:szCs w:val="23"/>
        </w:rPr>
        <w:t xml:space="preserve">, «6.15 Proyectos de mantenimiento u optimización o adecuación o instalación o expansión de intersecciones semaforizadas peatonales», </w:t>
      </w:r>
      <w:r w:rsidR="00004E93" w:rsidRPr="00DD1B72">
        <w:rPr>
          <w:rFonts w:ascii="Arial" w:eastAsia="Arial" w:hAnsi="Arial" w:cs="Arial"/>
          <w:sz w:val="23"/>
          <w:szCs w:val="23"/>
        </w:rPr>
        <w:t>«</w:t>
      </w:r>
      <w:r w:rsidR="00D84110" w:rsidRPr="00DD1B72">
        <w:rPr>
          <w:rFonts w:ascii="Arial" w:eastAsia="Arial" w:hAnsi="Arial" w:cs="Arial"/>
          <w:sz w:val="23"/>
          <w:szCs w:val="23"/>
        </w:rPr>
        <w:t>6.16 Proyectos de señalización y/o demarcación de vías urbanas»</w:t>
      </w:r>
      <w:r w:rsidR="00004E93" w:rsidRPr="00DD1B72">
        <w:rPr>
          <w:rFonts w:ascii="Arial" w:eastAsia="Arial" w:hAnsi="Arial" w:cs="Arial"/>
          <w:sz w:val="23"/>
          <w:szCs w:val="23"/>
        </w:rPr>
        <w:t xml:space="preserve">, «6.17 Proyectos de señalización y/o demarcación de espacio público asociado a la infraestructura de transporte» y </w:t>
      </w:r>
      <w:r w:rsidR="001B5188" w:rsidRPr="00DD1B72">
        <w:rPr>
          <w:rFonts w:ascii="Arial" w:eastAsia="Arial" w:hAnsi="Arial" w:cs="Arial"/>
          <w:sz w:val="23"/>
          <w:szCs w:val="23"/>
        </w:rPr>
        <w:t xml:space="preserve">«6.18 proyectos de señalización y/o demarcación y/o implementación y/o ampliación y/o mantenimiento de ciclorrutas o </w:t>
      </w:r>
      <w:proofErr w:type="spellStart"/>
      <w:r w:rsidR="001B5188" w:rsidRPr="00DD1B72">
        <w:rPr>
          <w:rFonts w:ascii="Arial" w:eastAsia="Arial" w:hAnsi="Arial" w:cs="Arial"/>
          <w:sz w:val="23"/>
          <w:szCs w:val="23"/>
        </w:rPr>
        <w:t>ciclobandas</w:t>
      </w:r>
      <w:proofErr w:type="spellEnd"/>
      <w:r w:rsidR="001B5188" w:rsidRPr="00DD1B72">
        <w:rPr>
          <w:rFonts w:ascii="Arial" w:eastAsia="Arial" w:hAnsi="Arial" w:cs="Arial"/>
          <w:sz w:val="23"/>
          <w:szCs w:val="23"/>
        </w:rPr>
        <w:t xml:space="preserve"> o </w:t>
      </w:r>
      <w:proofErr w:type="spellStart"/>
      <w:r w:rsidR="001B5188" w:rsidRPr="00DD1B72">
        <w:rPr>
          <w:rFonts w:ascii="Arial" w:eastAsia="Arial" w:hAnsi="Arial" w:cs="Arial"/>
          <w:sz w:val="23"/>
          <w:szCs w:val="23"/>
        </w:rPr>
        <w:t>bicicarriles</w:t>
      </w:r>
      <w:proofErr w:type="spellEnd"/>
      <w:r w:rsidR="001B5188" w:rsidRPr="00DD1B72">
        <w:rPr>
          <w:rFonts w:ascii="Arial" w:eastAsia="Arial" w:hAnsi="Arial" w:cs="Arial"/>
          <w:sz w:val="23"/>
          <w:szCs w:val="23"/>
        </w:rPr>
        <w:t>».</w:t>
      </w:r>
    </w:p>
    <w:p w14:paraId="191F465A" w14:textId="77777777" w:rsidR="00F33727" w:rsidRPr="00DD1B72" w:rsidRDefault="00F33727" w:rsidP="00CE7180">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1DFF75E3" w14:textId="2B564302" w:rsidR="00F33727" w:rsidRDefault="20DB5E3B" w:rsidP="00F16F51">
      <w:pPr>
        <w:pStyle w:val="Normal0"/>
        <w:pBdr>
          <w:top w:val="nil"/>
          <w:left w:val="nil"/>
          <w:bottom w:val="nil"/>
          <w:right w:val="nil"/>
          <w:between w:val="nil"/>
        </w:pBdr>
        <w:spacing w:after="0" w:line="240" w:lineRule="auto"/>
        <w:ind w:right="51"/>
        <w:jc w:val="both"/>
        <w:rPr>
          <w:rFonts w:ascii="Arial" w:eastAsia="Arial" w:hAnsi="Arial" w:cs="Arial"/>
          <w:sz w:val="23"/>
          <w:szCs w:val="23"/>
        </w:rPr>
      </w:pPr>
      <w:r w:rsidRPr="6CB76B80">
        <w:rPr>
          <w:rFonts w:ascii="Arial" w:eastAsia="Arial" w:hAnsi="Arial" w:cs="Arial"/>
          <w:sz w:val="23"/>
          <w:szCs w:val="23"/>
        </w:rPr>
        <w:t>Asimismo</w:t>
      </w:r>
      <w:r w:rsidR="00F33727" w:rsidRPr="00DD1B72">
        <w:rPr>
          <w:rFonts w:ascii="Arial" w:eastAsia="Arial" w:hAnsi="Arial" w:cs="Arial"/>
          <w:sz w:val="23"/>
          <w:szCs w:val="23"/>
        </w:rPr>
        <w:t xml:space="preserve">, </w:t>
      </w:r>
      <w:r w:rsidR="7B982D55" w:rsidRPr="6CB76B80">
        <w:rPr>
          <w:rFonts w:ascii="Arial" w:eastAsia="Arial" w:hAnsi="Arial" w:cs="Arial"/>
          <w:sz w:val="23"/>
          <w:szCs w:val="23"/>
        </w:rPr>
        <w:t>con ocasión de la revisión de los documentos tipo mencionados,</w:t>
      </w:r>
      <w:r w:rsidR="74E60A13" w:rsidRPr="6CB76B80">
        <w:rPr>
          <w:rFonts w:ascii="Arial" w:eastAsia="Arial" w:hAnsi="Arial" w:cs="Arial"/>
          <w:sz w:val="23"/>
          <w:szCs w:val="23"/>
        </w:rPr>
        <w:t xml:space="preserve"> </w:t>
      </w:r>
      <w:r w:rsidR="00F33727" w:rsidRPr="00DD1B72">
        <w:rPr>
          <w:rFonts w:ascii="Arial" w:eastAsia="Arial" w:hAnsi="Arial" w:cs="Arial"/>
          <w:sz w:val="23"/>
          <w:szCs w:val="23"/>
        </w:rPr>
        <w:t xml:space="preserve">se identificaron definiciones contenidas en el «Anexo 3 – Glosario», que </w:t>
      </w:r>
      <w:r w:rsidR="74E60A13" w:rsidRPr="6CB76B80">
        <w:rPr>
          <w:rFonts w:ascii="Arial" w:eastAsia="Arial" w:hAnsi="Arial" w:cs="Arial"/>
          <w:sz w:val="23"/>
          <w:szCs w:val="23"/>
        </w:rPr>
        <w:t>resulta</w:t>
      </w:r>
      <w:r w:rsidR="06946738" w:rsidRPr="6CB76B80">
        <w:rPr>
          <w:rFonts w:ascii="Arial" w:eastAsia="Arial" w:hAnsi="Arial" w:cs="Arial"/>
          <w:sz w:val="23"/>
          <w:szCs w:val="23"/>
        </w:rPr>
        <w:t>ría</w:t>
      </w:r>
      <w:r w:rsidR="00F33727" w:rsidRPr="00DD1B72">
        <w:rPr>
          <w:rFonts w:ascii="Arial" w:eastAsia="Arial" w:hAnsi="Arial" w:cs="Arial"/>
          <w:sz w:val="23"/>
          <w:szCs w:val="23"/>
        </w:rPr>
        <w:t xml:space="preserve"> pertinente </w:t>
      </w:r>
      <w:r w:rsidR="7723E019" w:rsidRPr="6CB76B80">
        <w:rPr>
          <w:rFonts w:ascii="Arial" w:eastAsia="Arial" w:hAnsi="Arial" w:cs="Arial"/>
          <w:sz w:val="23"/>
          <w:szCs w:val="23"/>
        </w:rPr>
        <w:t xml:space="preserve">modificar, </w:t>
      </w:r>
      <w:r w:rsidR="00F33727" w:rsidRPr="00DD1B72">
        <w:rPr>
          <w:rFonts w:ascii="Arial" w:eastAsia="Arial" w:hAnsi="Arial" w:cs="Arial"/>
          <w:sz w:val="23"/>
          <w:szCs w:val="23"/>
        </w:rPr>
        <w:t xml:space="preserve">ajustar, </w:t>
      </w:r>
      <w:r w:rsidR="00F33727" w:rsidRPr="00DD1B72">
        <w:rPr>
          <w:rFonts w:ascii="Arial" w:eastAsia="Arial" w:hAnsi="Arial" w:cs="Arial"/>
          <w:sz w:val="23"/>
          <w:szCs w:val="23"/>
        </w:rPr>
        <w:lastRenderedPageBreak/>
        <w:t xml:space="preserve">complementar y/o eliminar, para </w:t>
      </w:r>
      <w:r w:rsidR="6916EB4F" w:rsidRPr="6CB76B80">
        <w:rPr>
          <w:rFonts w:ascii="Arial" w:eastAsia="Arial" w:hAnsi="Arial" w:cs="Arial"/>
          <w:sz w:val="23"/>
          <w:szCs w:val="23"/>
        </w:rPr>
        <w:t>garantizar su consonancia y armonía</w:t>
      </w:r>
      <w:r w:rsidR="00F33727" w:rsidRPr="00DD1B72">
        <w:rPr>
          <w:rFonts w:ascii="Arial" w:eastAsia="Arial" w:hAnsi="Arial" w:cs="Arial"/>
          <w:sz w:val="23"/>
          <w:szCs w:val="23"/>
        </w:rPr>
        <w:t xml:space="preserve"> con los conceptos </w:t>
      </w:r>
      <w:r w:rsidR="45394C69" w:rsidRPr="6CB76B80">
        <w:rPr>
          <w:rFonts w:ascii="Arial" w:eastAsia="Arial" w:hAnsi="Arial" w:cs="Arial"/>
          <w:sz w:val="23"/>
          <w:szCs w:val="23"/>
        </w:rPr>
        <w:t xml:space="preserve">especializados </w:t>
      </w:r>
      <w:r w:rsidR="6E1CAD3E" w:rsidRPr="6CB76B80">
        <w:rPr>
          <w:rFonts w:ascii="Arial" w:eastAsia="Arial" w:hAnsi="Arial" w:cs="Arial"/>
          <w:sz w:val="23"/>
          <w:szCs w:val="23"/>
        </w:rPr>
        <w:t>d</w:t>
      </w:r>
      <w:r w:rsidR="74E60A13" w:rsidRPr="6CB76B80">
        <w:rPr>
          <w:rFonts w:ascii="Arial" w:eastAsia="Arial" w:hAnsi="Arial" w:cs="Arial"/>
          <w:sz w:val="23"/>
          <w:szCs w:val="23"/>
        </w:rPr>
        <w:t>el</w:t>
      </w:r>
      <w:r w:rsidR="00F33727" w:rsidRPr="00DD1B72">
        <w:rPr>
          <w:rFonts w:ascii="Arial" w:eastAsia="Arial" w:hAnsi="Arial" w:cs="Arial"/>
          <w:sz w:val="23"/>
          <w:szCs w:val="23"/>
        </w:rPr>
        <w:t xml:space="preserve"> sector </w:t>
      </w:r>
      <w:r w:rsidR="0B55735C" w:rsidRPr="6CB76B80">
        <w:rPr>
          <w:rFonts w:ascii="Arial" w:eastAsia="Arial" w:hAnsi="Arial" w:cs="Arial"/>
          <w:sz w:val="23"/>
          <w:szCs w:val="23"/>
        </w:rPr>
        <w:t xml:space="preserve">de infraestructura y </w:t>
      </w:r>
      <w:r w:rsidR="00F33727" w:rsidRPr="00DD1B72">
        <w:rPr>
          <w:rFonts w:ascii="Arial" w:eastAsia="Arial" w:hAnsi="Arial" w:cs="Arial"/>
          <w:sz w:val="23"/>
          <w:szCs w:val="23"/>
        </w:rPr>
        <w:t>transporte.</w:t>
      </w:r>
    </w:p>
    <w:p w14:paraId="588DB92D" w14:textId="77777777" w:rsidR="00C60218" w:rsidRPr="00DD1B72" w:rsidRDefault="00C60218" w:rsidP="00F33727">
      <w:pPr>
        <w:pStyle w:val="Normal0"/>
        <w:pBdr>
          <w:top w:val="nil"/>
          <w:left w:val="nil"/>
          <w:bottom w:val="nil"/>
          <w:right w:val="nil"/>
          <w:between w:val="nil"/>
        </w:pBdr>
        <w:spacing w:after="0" w:line="240" w:lineRule="auto"/>
        <w:ind w:right="51"/>
        <w:jc w:val="both"/>
        <w:rPr>
          <w:rFonts w:ascii="Arial" w:eastAsia="Arial" w:hAnsi="Arial" w:cs="Arial"/>
          <w:sz w:val="23"/>
          <w:szCs w:val="23"/>
        </w:rPr>
      </w:pPr>
    </w:p>
    <w:p w14:paraId="0023C8DC" w14:textId="04053F2D" w:rsidR="00F33727" w:rsidRDefault="00C60218" w:rsidP="004E57BB">
      <w:pPr>
        <w:pStyle w:val="Normal0"/>
        <w:pBdr>
          <w:top w:val="nil"/>
          <w:left w:val="nil"/>
          <w:bottom w:val="nil"/>
          <w:right w:val="nil"/>
          <w:between w:val="nil"/>
        </w:pBdr>
        <w:spacing w:after="0" w:line="240" w:lineRule="auto"/>
        <w:ind w:right="51"/>
        <w:rPr>
          <w:rFonts w:ascii="Arial" w:eastAsia="Arial" w:hAnsi="Arial" w:cs="Arial"/>
          <w:b/>
          <w:bCs/>
          <w:sz w:val="23"/>
          <w:szCs w:val="23"/>
        </w:rPr>
      </w:pPr>
      <w:r w:rsidRPr="00DD1B72">
        <w:rPr>
          <w:rFonts w:ascii="Arial" w:eastAsia="Arial" w:hAnsi="Arial" w:cs="Arial"/>
          <w:b/>
          <w:bCs/>
          <w:sz w:val="23"/>
          <w:szCs w:val="23"/>
        </w:rPr>
        <w:t>2.</w:t>
      </w:r>
      <w:r>
        <w:rPr>
          <w:rFonts w:ascii="Arial" w:eastAsia="Arial" w:hAnsi="Arial" w:cs="Arial"/>
          <w:b/>
          <w:bCs/>
          <w:sz w:val="23"/>
          <w:szCs w:val="23"/>
        </w:rPr>
        <w:t>3</w:t>
      </w:r>
      <w:r w:rsidRPr="00DD1B72">
        <w:rPr>
          <w:rFonts w:ascii="Arial" w:eastAsia="Arial" w:hAnsi="Arial" w:cs="Arial"/>
          <w:b/>
          <w:bCs/>
          <w:sz w:val="23"/>
          <w:szCs w:val="23"/>
        </w:rPr>
        <w:t xml:space="preserve"> </w:t>
      </w:r>
      <w:r w:rsidRPr="6CB76B80">
        <w:rPr>
          <w:rFonts w:ascii="Arial" w:eastAsia="Arial" w:hAnsi="Arial" w:cs="Arial"/>
          <w:b/>
          <w:bCs/>
          <w:sz w:val="23"/>
          <w:szCs w:val="23"/>
        </w:rPr>
        <w:t>Ajuste a la acreditación de la experiencia en temas de concesiones</w:t>
      </w:r>
      <w:r w:rsidR="004E57BB" w:rsidRPr="6CB76B80">
        <w:rPr>
          <w:rFonts w:ascii="Arial" w:eastAsia="Arial" w:hAnsi="Arial" w:cs="Arial"/>
          <w:b/>
          <w:bCs/>
          <w:sz w:val="23"/>
          <w:szCs w:val="23"/>
        </w:rPr>
        <w:t xml:space="preserve"> y subcontratos</w:t>
      </w:r>
    </w:p>
    <w:p w14:paraId="58555010" w14:textId="5558FFE3" w:rsidR="004E57BB" w:rsidRDefault="004E57BB" w:rsidP="004E57BB">
      <w:pPr>
        <w:pStyle w:val="Normal0"/>
        <w:pBdr>
          <w:top w:val="nil"/>
          <w:left w:val="nil"/>
          <w:bottom w:val="nil"/>
          <w:right w:val="nil"/>
          <w:between w:val="nil"/>
        </w:pBdr>
        <w:spacing w:after="0" w:line="240" w:lineRule="auto"/>
        <w:ind w:right="51"/>
        <w:rPr>
          <w:rFonts w:ascii="Arial" w:eastAsia="Arial" w:hAnsi="Arial" w:cs="Arial"/>
          <w:b/>
          <w:bCs/>
          <w:sz w:val="23"/>
          <w:szCs w:val="23"/>
        </w:rPr>
      </w:pPr>
    </w:p>
    <w:p w14:paraId="2BFF4948" w14:textId="77777777" w:rsidR="002609B3" w:rsidRDefault="005B4B4B" w:rsidP="002609B3">
      <w:pPr>
        <w:spacing w:line="264" w:lineRule="auto"/>
        <w:jc w:val="both"/>
        <w:rPr>
          <w:rFonts w:ascii="Arial" w:eastAsia="Arial" w:hAnsi="Arial" w:cs="Arial"/>
          <w:sz w:val="23"/>
          <w:szCs w:val="23"/>
          <w:lang w:val="es-ES"/>
        </w:rPr>
      </w:pPr>
      <w:r>
        <w:rPr>
          <w:rFonts w:ascii="Arial" w:eastAsia="Arial" w:hAnsi="Arial" w:cs="Arial"/>
          <w:sz w:val="23"/>
          <w:szCs w:val="23"/>
          <w:lang w:val="es-ES"/>
        </w:rPr>
        <w:t xml:space="preserve">Por otro lado, recibimos comentarios por parte </w:t>
      </w:r>
      <w:r w:rsidR="00294291">
        <w:rPr>
          <w:rFonts w:ascii="Arial" w:eastAsia="Arial" w:hAnsi="Arial" w:cs="Arial"/>
          <w:sz w:val="23"/>
          <w:szCs w:val="23"/>
          <w:lang w:val="es-ES"/>
        </w:rPr>
        <w:t xml:space="preserve">de los ciudadanos indicándonos que </w:t>
      </w:r>
      <w:r w:rsidR="00315C49">
        <w:rPr>
          <w:rFonts w:ascii="Arial" w:eastAsia="Arial" w:hAnsi="Arial" w:cs="Arial"/>
          <w:sz w:val="23"/>
          <w:szCs w:val="23"/>
          <w:lang w:val="es-ES"/>
        </w:rPr>
        <w:t xml:space="preserve">la acreditación de la experiencia en los proyectos de concesiones viales se debía restringir </w:t>
      </w:r>
      <w:r w:rsidR="004872FF">
        <w:rPr>
          <w:rFonts w:ascii="Arial" w:eastAsia="Arial" w:hAnsi="Arial" w:cs="Arial"/>
          <w:sz w:val="23"/>
          <w:szCs w:val="23"/>
          <w:lang w:val="es-ES"/>
        </w:rPr>
        <w:t>únicamente</w:t>
      </w:r>
      <w:r w:rsidR="00197BCC">
        <w:rPr>
          <w:rFonts w:ascii="Arial" w:eastAsia="Arial" w:hAnsi="Arial" w:cs="Arial"/>
          <w:sz w:val="23"/>
          <w:szCs w:val="23"/>
          <w:lang w:val="es-ES"/>
        </w:rPr>
        <w:t xml:space="preserve"> en la etapa constructiva. Del análisis realizado por la Agencia </w:t>
      </w:r>
      <w:r w:rsidR="004D04CF">
        <w:rPr>
          <w:rFonts w:ascii="Arial" w:eastAsia="Arial" w:hAnsi="Arial" w:cs="Arial"/>
          <w:sz w:val="23"/>
          <w:szCs w:val="23"/>
          <w:lang w:val="es-ES"/>
        </w:rPr>
        <w:t xml:space="preserve">Nacional de Contratación Pública </w:t>
      </w:r>
      <w:r w:rsidR="00AB7E51">
        <w:rPr>
          <w:rFonts w:ascii="Arial" w:eastAsia="Arial" w:hAnsi="Arial" w:cs="Arial"/>
          <w:sz w:val="23"/>
          <w:szCs w:val="23"/>
          <w:lang w:val="es-ES"/>
        </w:rPr>
        <w:t xml:space="preserve">se concluyó </w:t>
      </w:r>
      <w:r w:rsidR="009E3F0A">
        <w:rPr>
          <w:rFonts w:ascii="Arial" w:eastAsia="Arial" w:hAnsi="Arial" w:cs="Arial"/>
          <w:sz w:val="23"/>
          <w:szCs w:val="23"/>
          <w:lang w:val="es-ES"/>
        </w:rPr>
        <w:t>a</w:t>
      </w:r>
      <w:r w:rsidR="001414C7">
        <w:rPr>
          <w:rFonts w:ascii="Arial" w:eastAsia="Arial" w:hAnsi="Arial" w:cs="Arial"/>
          <w:sz w:val="23"/>
          <w:szCs w:val="23"/>
          <w:lang w:val="es-ES"/>
        </w:rPr>
        <w:t xml:space="preserve"> que es un ajuste conveniente y necesario </w:t>
      </w:r>
      <w:r w:rsidR="00AC20FA">
        <w:rPr>
          <w:rFonts w:ascii="Arial" w:eastAsia="Arial" w:hAnsi="Arial" w:cs="Arial"/>
          <w:sz w:val="23"/>
          <w:szCs w:val="23"/>
          <w:lang w:val="es-ES"/>
        </w:rPr>
        <w:t>para garantizar</w:t>
      </w:r>
      <w:r w:rsidR="001414C7">
        <w:rPr>
          <w:rFonts w:ascii="Arial" w:eastAsia="Arial" w:hAnsi="Arial" w:cs="Arial"/>
          <w:sz w:val="23"/>
          <w:szCs w:val="23"/>
          <w:lang w:val="es-ES"/>
        </w:rPr>
        <w:t xml:space="preserve"> la idoneidad del futuro contratista y, además, </w:t>
      </w:r>
      <w:r w:rsidR="00AC20FA">
        <w:rPr>
          <w:rFonts w:ascii="Arial" w:eastAsia="Arial" w:hAnsi="Arial" w:cs="Arial"/>
          <w:sz w:val="23"/>
          <w:szCs w:val="23"/>
          <w:lang w:val="es-ES"/>
        </w:rPr>
        <w:t>promover</w:t>
      </w:r>
      <w:r w:rsidR="001414C7">
        <w:rPr>
          <w:rFonts w:ascii="Arial" w:eastAsia="Arial" w:hAnsi="Arial" w:cs="Arial"/>
          <w:sz w:val="23"/>
          <w:szCs w:val="23"/>
          <w:lang w:val="es-ES"/>
        </w:rPr>
        <w:t xml:space="preserve"> la igualdad de condiciones en la participación de los interesados. </w:t>
      </w:r>
    </w:p>
    <w:p w14:paraId="039174C8" w14:textId="09D88BE7" w:rsidR="00C861B0" w:rsidRDefault="002609B3" w:rsidP="00A13E29">
      <w:pPr>
        <w:spacing w:line="264" w:lineRule="auto"/>
        <w:jc w:val="both"/>
        <w:rPr>
          <w:rFonts w:ascii="Arial" w:eastAsia="Arial" w:hAnsi="Arial" w:cs="Arial"/>
          <w:sz w:val="23"/>
          <w:szCs w:val="23"/>
        </w:rPr>
      </w:pPr>
      <w:r>
        <w:rPr>
          <w:rFonts w:ascii="Arial" w:eastAsia="Arial" w:hAnsi="Arial" w:cs="Arial"/>
          <w:sz w:val="23"/>
          <w:szCs w:val="23"/>
          <w:lang w:val="es-ES"/>
        </w:rPr>
        <w:t xml:space="preserve">Al respecto, </w:t>
      </w:r>
      <w:r w:rsidR="00EC25AD" w:rsidRPr="00542376">
        <w:rPr>
          <w:rFonts w:ascii="Arial" w:eastAsia="Arial" w:hAnsi="Arial" w:cs="Arial"/>
          <w:sz w:val="23"/>
          <w:szCs w:val="23"/>
          <w:lang w:val="es-CO"/>
        </w:rPr>
        <w:t xml:space="preserve">surge el </w:t>
      </w:r>
      <w:r w:rsidR="00EC25AD">
        <w:rPr>
          <w:rFonts w:ascii="Arial" w:eastAsia="Arial" w:hAnsi="Arial" w:cs="Arial"/>
          <w:sz w:val="23"/>
          <w:szCs w:val="23"/>
          <w:lang w:val="es-CO"/>
        </w:rPr>
        <w:t xml:space="preserve">siguiente interrogante: ¿Por qué no tener </w:t>
      </w:r>
      <w:r w:rsidR="00FC74CA">
        <w:rPr>
          <w:rFonts w:ascii="Arial" w:eastAsia="Arial" w:hAnsi="Arial" w:cs="Arial"/>
          <w:sz w:val="23"/>
          <w:szCs w:val="23"/>
          <w:lang w:val="es-CO"/>
        </w:rPr>
        <w:t>como válida la experiencia realizada en la etapa de administración, mantenimiento y operación del proyecto de concesión vial?</w:t>
      </w:r>
      <w:r w:rsidR="00886CD8">
        <w:rPr>
          <w:rFonts w:ascii="Arial" w:eastAsia="Arial" w:hAnsi="Arial" w:cs="Arial"/>
          <w:sz w:val="23"/>
          <w:szCs w:val="23"/>
          <w:lang w:val="es-CO"/>
        </w:rPr>
        <w:t xml:space="preserve"> </w:t>
      </w:r>
      <w:r w:rsidR="00A96135">
        <w:rPr>
          <w:rFonts w:ascii="Arial" w:eastAsia="Arial" w:hAnsi="Arial" w:cs="Arial"/>
          <w:sz w:val="23"/>
          <w:szCs w:val="23"/>
        </w:rPr>
        <w:t xml:space="preserve"> Con </w:t>
      </w:r>
      <w:r w:rsidR="00F435DE">
        <w:rPr>
          <w:rFonts w:ascii="Arial" w:eastAsia="Arial" w:hAnsi="Arial" w:cs="Arial"/>
          <w:sz w:val="23"/>
          <w:szCs w:val="23"/>
        </w:rPr>
        <w:t xml:space="preserve">la modificación </w:t>
      </w:r>
      <w:r w:rsidR="00A96135">
        <w:rPr>
          <w:rFonts w:ascii="Arial" w:eastAsia="Arial" w:hAnsi="Arial" w:cs="Arial"/>
          <w:sz w:val="23"/>
          <w:szCs w:val="23"/>
        </w:rPr>
        <w:t xml:space="preserve">en los documentos tipo se busca que </w:t>
      </w:r>
      <w:r w:rsidR="00AB0C95">
        <w:rPr>
          <w:rFonts w:ascii="Arial" w:eastAsia="Arial" w:hAnsi="Arial" w:cs="Arial"/>
          <w:sz w:val="23"/>
          <w:szCs w:val="23"/>
        </w:rPr>
        <w:t>únicamente se tenga en cuenta la experiencia relacionada con la etapa constructiva</w:t>
      </w:r>
      <w:r>
        <w:rPr>
          <w:rFonts w:ascii="Arial" w:eastAsia="Arial" w:hAnsi="Arial" w:cs="Arial"/>
          <w:sz w:val="23"/>
          <w:szCs w:val="23"/>
        </w:rPr>
        <w:t xml:space="preserve"> de la obra pública y no en la etapa de explotación del bien</w:t>
      </w:r>
      <w:r w:rsidR="6CDC611C" w:rsidRPr="751CAD98">
        <w:rPr>
          <w:rFonts w:ascii="Arial" w:eastAsia="Arial" w:hAnsi="Arial" w:cs="Arial"/>
          <w:sz w:val="23"/>
          <w:szCs w:val="23"/>
        </w:rPr>
        <w:t xml:space="preserve">, teniendo en cuenta que los documentos tipo que se modifican </w:t>
      </w:r>
      <w:r w:rsidR="31D2733A" w:rsidRPr="751CAD98">
        <w:rPr>
          <w:rFonts w:ascii="Arial" w:eastAsia="Arial" w:hAnsi="Arial" w:cs="Arial"/>
          <w:sz w:val="23"/>
          <w:szCs w:val="23"/>
        </w:rPr>
        <w:t>pretenden</w:t>
      </w:r>
      <w:r w:rsidR="6CDC611C" w:rsidRPr="751CAD98">
        <w:rPr>
          <w:rFonts w:ascii="Arial" w:eastAsia="Arial" w:hAnsi="Arial" w:cs="Arial"/>
          <w:sz w:val="23"/>
          <w:szCs w:val="23"/>
        </w:rPr>
        <w:t xml:space="preserve"> esencialmente la adjudicación y posterior suscripción de contratos</w:t>
      </w:r>
      <w:r w:rsidR="65240A37" w:rsidRPr="751CAD98">
        <w:rPr>
          <w:rFonts w:ascii="Arial" w:eastAsia="Arial" w:hAnsi="Arial" w:cs="Arial"/>
          <w:sz w:val="23"/>
          <w:szCs w:val="23"/>
        </w:rPr>
        <w:t xml:space="preserve"> que involucran obras públicas en sus objetos contractuales, sin que para su ejecución se requiera experticia en </w:t>
      </w:r>
      <w:r w:rsidR="7B505681" w:rsidRPr="751CAD98">
        <w:rPr>
          <w:rFonts w:ascii="Arial" w:eastAsia="Arial" w:hAnsi="Arial" w:cs="Arial"/>
          <w:sz w:val="23"/>
          <w:szCs w:val="23"/>
        </w:rPr>
        <w:t xml:space="preserve">actividades propias del tipo contractual de concesión, como lo son, </w:t>
      </w:r>
      <w:r w:rsidR="65240A37" w:rsidRPr="751CAD98">
        <w:rPr>
          <w:rFonts w:ascii="Arial" w:eastAsia="Arial" w:hAnsi="Arial" w:cs="Arial"/>
          <w:sz w:val="23"/>
          <w:szCs w:val="23"/>
        </w:rPr>
        <w:t>la operación, administración</w:t>
      </w:r>
      <w:r w:rsidR="6BF096AE" w:rsidRPr="751CAD98">
        <w:rPr>
          <w:rFonts w:ascii="Arial" w:eastAsia="Arial" w:hAnsi="Arial" w:cs="Arial"/>
          <w:sz w:val="23"/>
          <w:szCs w:val="23"/>
        </w:rPr>
        <w:t xml:space="preserve"> </w:t>
      </w:r>
      <w:proofErr w:type="spellStart"/>
      <w:r w:rsidR="6BF096AE" w:rsidRPr="751CAD98">
        <w:rPr>
          <w:rFonts w:ascii="Arial" w:eastAsia="Arial" w:hAnsi="Arial" w:cs="Arial"/>
          <w:sz w:val="23"/>
          <w:szCs w:val="23"/>
        </w:rPr>
        <w:t>yo</w:t>
      </w:r>
      <w:proofErr w:type="spellEnd"/>
      <w:r w:rsidR="6BF096AE" w:rsidRPr="751CAD98">
        <w:rPr>
          <w:rFonts w:ascii="Arial" w:eastAsia="Arial" w:hAnsi="Arial" w:cs="Arial"/>
          <w:sz w:val="23"/>
          <w:szCs w:val="23"/>
        </w:rPr>
        <w:t xml:space="preserve"> mantenimiento</w:t>
      </w:r>
      <w:r w:rsidR="7334BE66" w:rsidRPr="751CAD98">
        <w:rPr>
          <w:rFonts w:ascii="Arial" w:eastAsia="Arial" w:hAnsi="Arial" w:cs="Arial"/>
          <w:sz w:val="23"/>
          <w:szCs w:val="23"/>
        </w:rPr>
        <w:t xml:space="preserve"> de la infraestructura concesionada.</w:t>
      </w:r>
      <w:r w:rsidR="52442349" w:rsidRPr="751CAD98">
        <w:rPr>
          <w:rFonts w:ascii="Arial" w:eastAsia="Arial" w:hAnsi="Arial" w:cs="Arial"/>
          <w:sz w:val="23"/>
          <w:szCs w:val="23"/>
        </w:rPr>
        <w:t xml:space="preserve"> Por ello, esta modificación </w:t>
      </w:r>
      <w:r w:rsidR="17CC7F47" w:rsidRPr="751CAD98">
        <w:rPr>
          <w:rFonts w:ascii="Arial" w:eastAsia="Arial" w:hAnsi="Arial" w:cs="Arial"/>
          <w:sz w:val="23"/>
          <w:szCs w:val="23"/>
        </w:rPr>
        <w:t>tiene como propósito asegurar</w:t>
      </w:r>
      <w:r>
        <w:rPr>
          <w:rFonts w:ascii="Arial" w:eastAsia="Arial" w:hAnsi="Arial" w:cs="Arial"/>
          <w:sz w:val="23"/>
          <w:szCs w:val="23"/>
        </w:rPr>
        <w:t xml:space="preserve"> </w:t>
      </w:r>
      <w:r w:rsidR="00C861B0">
        <w:rPr>
          <w:rFonts w:ascii="Arial" w:eastAsia="Arial" w:hAnsi="Arial" w:cs="Arial"/>
          <w:sz w:val="23"/>
          <w:szCs w:val="23"/>
        </w:rPr>
        <w:t>la idoneidad del futuro contratista para ejecutar el proyecto de obra pública</w:t>
      </w:r>
      <w:r w:rsidR="00160407">
        <w:rPr>
          <w:rFonts w:ascii="Arial" w:eastAsia="Arial" w:hAnsi="Arial" w:cs="Arial"/>
          <w:sz w:val="23"/>
          <w:szCs w:val="23"/>
        </w:rPr>
        <w:t xml:space="preserve">, </w:t>
      </w:r>
      <w:r w:rsidR="693A6111" w:rsidRPr="751CAD98">
        <w:rPr>
          <w:rFonts w:ascii="Arial" w:eastAsia="Arial" w:hAnsi="Arial" w:cs="Arial"/>
          <w:sz w:val="23"/>
          <w:szCs w:val="23"/>
        </w:rPr>
        <w:t>exigiendo de este modo</w:t>
      </w:r>
      <w:r w:rsidR="183DFB40" w:rsidRPr="751CAD98">
        <w:rPr>
          <w:rFonts w:ascii="Arial" w:eastAsia="Arial" w:hAnsi="Arial" w:cs="Arial"/>
          <w:sz w:val="23"/>
          <w:szCs w:val="23"/>
        </w:rPr>
        <w:t xml:space="preserve"> </w:t>
      </w:r>
      <w:r w:rsidR="009C4C41">
        <w:rPr>
          <w:rFonts w:ascii="Arial" w:eastAsia="Arial" w:hAnsi="Arial" w:cs="Arial"/>
          <w:sz w:val="23"/>
          <w:szCs w:val="23"/>
        </w:rPr>
        <w:t xml:space="preserve">condiciones de experiencia adecuadas y proporcionales con el proyecto </w:t>
      </w:r>
      <w:r w:rsidR="005E3868" w:rsidRPr="751CAD98">
        <w:rPr>
          <w:rFonts w:ascii="Arial" w:eastAsia="Arial" w:hAnsi="Arial" w:cs="Arial"/>
          <w:sz w:val="23"/>
          <w:szCs w:val="23"/>
        </w:rPr>
        <w:t>que se planea adjudicar y</w:t>
      </w:r>
      <w:r w:rsidR="009C4C41">
        <w:rPr>
          <w:rFonts w:ascii="Arial" w:eastAsia="Arial" w:hAnsi="Arial" w:cs="Arial"/>
          <w:sz w:val="23"/>
          <w:szCs w:val="23"/>
        </w:rPr>
        <w:t xml:space="preserve"> ejecutar</w:t>
      </w:r>
      <w:r w:rsidR="00C861B0">
        <w:rPr>
          <w:rFonts w:ascii="Arial" w:eastAsia="Arial" w:hAnsi="Arial" w:cs="Arial"/>
          <w:sz w:val="23"/>
          <w:szCs w:val="23"/>
        </w:rPr>
        <w:t xml:space="preserve">. </w:t>
      </w:r>
    </w:p>
    <w:p w14:paraId="74F35A23" w14:textId="1F913C25" w:rsidR="001B7471" w:rsidRDefault="004B02EB" w:rsidP="001B7471">
      <w:pPr>
        <w:spacing w:line="240" w:lineRule="auto"/>
        <w:jc w:val="both"/>
        <w:rPr>
          <w:rFonts w:ascii="Arial" w:eastAsia="Arial" w:hAnsi="Arial" w:cs="Arial"/>
          <w:sz w:val="23"/>
          <w:szCs w:val="23"/>
          <w:lang w:val="es-ES"/>
        </w:rPr>
      </w:pPr>
      <w:r>
        <w:rPr>
          <w:rFonts w:ascii="Arial" w:eastAsia="Arial" w:hAnsi="Arial" w:cs="Arial"/>
          <w:sz w:val="23"/>
          <w:szCs w:val="23"/>
        </w:rPr>
        <w:t xml:space="preserve">Ahora bien, si se </w:t>
      </w:r>
      <w:r w:rsidRPr="751CAD98">
        <w:rPr>
          <w:rFonts w:ascii="Arial" w:eastAsia="Arial" w:hAnsi="Arial" w:cs="Arial"/>
          <w:sz w:val="23"/>
          <w:szCs w:val="23"/>
        </w:rPr>
        <w:t>t</w:t>
      </w:r>
      <w:r w:rsidR="6BE25D94" w:rsidRPr="751CAD98">
        <w:rPr>
          <w:rFonts w:ascii="Arial" w:eastAsia="Arial" w:hAnsi="Arial" w:cs="Arial"/>
          <w:sz w:val="23"/>
          <w:szCs w:val="23"/>
        </w:rPr>
        <w:t>uviera</w:t>
      </w:r>
      <w:r w:rsidR="00C861B0">
        <w:rPr>
          <w:rFonts w:ascii="Arial" w:eastAsia="Arial" w:hAnsi="Arial" w:cs="Arial"/>
          <w:sz w:val="23"/>
          <w:szCs w:val="23"/>
        </w:rPr>
        <w:t xml:space="preserve"> como válida la</w:t>
      </w:r>
      <w:r>
        <w:rPr>
          <w:rFonts w:ascii="Arial" w:eastAsia="Arial" w:hAnsi="Arial" w:cs="Arial"/>
          <w:sz w:val="23"/>
          <w:szCs w:val="23"/>
        </w:rPr>
        <w:t>s actividades de operación,</w:t>
      </w:r>
      <w:r w:rsidR="00E92EDE">
        <w:rPr>
          <w:rFonts w:ascii="Arial" w:eastAsia="Arial" w:hAnsi="Arial" w:cs="Arial"/>
          <w:sz w:val="23"/>
          <w:szCs w:val="23"/>
        </w:rPr>
        <w:t xml:space="preserve"> administración y/o </w:t>
      </w:r>
      <w:r>
        <w:rPr>
          <w:rFonts w:ascii="Arial" w:eastAsia="Arial" w:hAnsi="Arial" w:cs="Arial"/>
          <w:sz w:val="23"/>
          <w:szCs w:val="23"/>
        </w:rPr>
        <w:t xml:space="preserve">mantenimiento </w:t>
      </w:r>
      <w:r w:rsidR="00E92EDE">
        <w:rPr>
          <w:rFonts w:ascii="Arial" w:eastAsia="Arial" w:hAnsi="Arial" w:cs="Arial"/>
          <w:sz w:val="23"/>
          <w:szCs w:val="23"/>
        </w:rPr>
        <w:t xml:space="preserve">de la infraestructura concesionada se </w:t>
      </w:r>
      <w:r w:rsidR="009C4C41">
        <w:rPr>
          <w:rFonts w:ascii="Arial" w:eastAsia="Arial" w:hAnsi="Arial" w:cs="Arial"/>
          <w:sz w:val="23"/>
          <w:szCs w:val="23"/>
        </w:rPr>
        <w:t>valdría</w:t>
      </w:r>
      <w:r w:rsidR="00E92EDE">
        <w:rPr>
          <w:rFonts w:ascii="Arial" w:eastAsia="Arial" w:hAnsi="Arial" w:cs="Arial"/>
          <w:sz w:val="23"/>
          <w:szCs w:val="23"/>
        </w:rPr>
        <w:t xml:space="preserve"> una experiencia que no tiene relación con el objeto del proyecto, y</w:t>
      </w:r>
      <w:r w:rsidR="001B7471">
        <w:rPr>
          <w:rFonts w:ascii="Arial" w:eastAsia="Arial" w:hAnsi="Arial" w:cs="Arial"/>
          <w:sz w:val="23"/>
          <w:szCs w:val="23"/>
        </w:rPr>
        <w:t>,</w:t>
      </w:r>
      <w:r w:rsidR="00E92EDE">
        <w:rPr>
          <w:rFonts w:ascii="Arial" w:eastAsia="Arial" w:hAnsi="Arial" w:cs="Arial"/>
          <w:sz w:val="23"/>
          <w:szCs w:val="23"/>
        </w:rPr>
        <w:t xml:space="preserve"> además, no </w:t>
      </w:r>
      <w:r w:rsidR="0F4D50F7" w:rsidRPr="751CAD98">
        <w:rPr>
          <w:rFonts w:ascii="Arial" w:eastAsia="Arial" w:hAnsi="Arial" w:cs="Arial"/>
          <w:sz w:val="23"/>
          <w:szCs w:val="23"/>
        </w:rPr>
        <w:t>se</w:t>
      </w:r>
      <w:r w:rsidR="00E92EDE" w:rsidRPr="751CAD98">
        <w:rPr>
          <w:rFonts w:ascii="Arial" w:eastAsia="Arial" w:hAnsi="Arial" w:cs="Arial"/>
          <w:sz w:val="23"/>
          <w:szCs w:val="23"/>
        </w:rPr>
        <w:t xml:space="preserve"> garantiza</w:t>
      </w:r>
      <w:r w:rsidR="72188DC1" w:rsidRPr="751CAD98">
        <w:rPr>
          <w:rFonts w:ascii="Arial" w:eastAsia="Arial" w:hAnsi="Arial" w:cs="Arial"/>
          <w:sz w:val="23"/>
          <w:szCs w:val="23"/>
        </w:rPr>
        <w:t>ría</w:t>
      </w:r>
      <w:r w:rsidR="00E92EDE">
        <w:rPr>
          <w:rFonts w:ascii="Arial" w:eastAsia="Arial" w:hAnsi="Arial" w:cs="Arial"/>
          <w:sz w:val="23"/>
          <w:szCs w:val="23"/>
        </w:rPr>
        <w:t xml:space="preserve"> que el contratista </w:t>
      </w:r>
      <w:r w:rsidR="00E92EDE" w:rsidRPr="751CAD98">
        <w:rPr>
          <w:rFonts w:ascii="Arial" w:eastAsia="Arial" w:hAnsi="Arial" w:cs="Arial"/>
          <w:sz w:val="23"/>
          <w:szCs w:val="23"/>
        </w:rPr>
        <w:t>t</w:t>
      </w:r>
      <w:r w:rsidR="1A1819F4" w:rsidRPr="751CAD98">
        <w:rPr>
          <w:rFonts w:ascii="Arial" w:eastAsia="Arial" w:hAnsi="Arial" w:cs="Arial"/>
          <w:sz w:val="23"/>
          <w:szCs w:val="23"/>
        </w:rPr>
        <w:t>uviera</w:t>
      </w:r>
      <w:r w:rsidR="00E92EDE">
        <w:rPr>
          <w:rFonts w:ascii="Arial" w:eastAsia="Arial" w:hAnsi="Arial" w:cs="Arial"/>
          <w:sz w:val="23"/>
          <w:szCs w:val="23"/>
        </w:rPr>
        <w:t xml:space="preserve"> la idoneidad para ejecutar el proyecto</w:t>
      </w:r>
      <w:r w:rsidR="0904A742" w:rsidRPr="3657F038">
        <w:rPr>
          <w:rFonts w:ascii="Arial" w:eastAsia="Arial" w:hAnsi="Arial" w:cs="Arial"/>
          <w:sz w:val="23"/>
          <w:szCs w:val="23"/>
        </w:rPr>
        <w:t xml:space="preserve">, </w:t>
      </w:r>
      <w:r w:rsidR="413A72D8" w:rsidRPr="751CAD98">
        <w:rPr>
          <w:rFonts w:ascii="Arial" w:eastAsia="Arial" w:hAnsi="Arial" w:cs="Arial"/>
          <w:sz w:val="23"/>
          <w:szCs w:val="23"/>
        </w:rPr>
        <w:t>teniendo en cuenta que tales actividades sobre la</w:t>
      </w:r>
      <w:r w:rsidR="0904A742" w:rsidRPr="3657F038">
        <w:rPr>
          <w:rFonts w:ascii="Arial" w:eastAsia="Arial" w:hAnsi="Arial" w:cs="Arial"/>
          <w:sz w:val="23"/>
          <w:szCs w:val="23"/>
        </w:rPr>
        <w:t xml:space="preserve"> </w:t>
      </w:r>
      <w:proofErr w:type="spellStart"/>
      <w:r w:rsidR="0904A742" w:rsidRPr="3657F038">
        <w:rPr>
          <w:rFonts w:ascii="Arial" w:eastAsia="Arial" w:hAnsi="Arial" w:cs="Arial"/>
          <w:sz w:val="23"/>
          <w:szCs w:val="23"/>
        </w:rPr>
        <w:t>la</w:t>
      </w:r>
      <w:proofErr w:type="spellEnd"/>
      <w:r w:rsidR="0904A742" w:rsidRPr="3657F038">
        <w:rPr>
          <w:rFonts w:ascii="Arial" w:eastAsia="Arial" w:hAnsi="Arial" w:cs="Arial"/>
          <w:sz w:val="23"/>
          <w:szCs w:val="23"/>
        </w:rPr>
        <w:t xml:space="preserve"> infraestructura concesionada corresponden principalmente a </w:t>
      </w:r>
      <w:r w:rsidR="49DA3D15" w:rsidRPr="751CAD98">
        <w:rPr>
          <w:rFonts w:ascii="Arial" w:eastAsia="Arial" w:hAnsi="Arial" w:cs="Arial"/>
          <w:sz w:val="23"/>
          <w:szCs w:val="23"/>
        </w:rPr>
        <w:t xml:space="preserve">un negocio y </w:t>
      </w:r>
      <w:r w:rsidR="0904A742" w:rsidRPr="3657F038">
        <w:rPr>
          <w:rFonts w:ascii="Arial" w:eastAsia="Arial" w:hAnsi="Arial" w:cs="Arial"/>
          <w:sz w:val="23"/>
          <w:szCs w:val="23"/>
        </w:rPr>
        <w:t xml:space="preserve">proyecto </w:t>
      </w:r>
      <w:r w:rsidR="0904A742" w:rsidRPr="751CAD98">
        <w:rPr>
          <w:rFonts w:ascii="Arial" w:eastAsia="Arial" w:hAnsi="Arial" w:cs="Arial"/>
          <w:sz w:val="23"/>
          <w:szCs w:val="23"/>
        </w:rPr>
        <w:t>financiero</w:t>
      </w:r>
      <w:r w:rsidR="3575AA54" w:rsidRPr="751CAD98">
        <w:rPr>
          <w:rFonts w:ascii="Arial" w:eastAsia="Arial" w:hAnsi="Arial" w:cs="Arial"/>
          <w:sz w:val="23"/>
          <w:szCs w:val="23"/>
        </w:rPr>
        <w:t>, y no a actividades materiales de obra</w:t>
      </w:r>
      <w:r w:rsidR="00E92EDE" w:rsidRPr="751CAD98">
        <w:rPr>
          <w:rFonts w:ascii="Arial" w:eastAsia="Arial" w:hAnsi="Arial" w:cs="Arial"/>
          <w:sz w:val="23"/>
          <w:szCs w:val="23"/>
        </w:rPr>
        <w:t>.</w:t>
      </w:r>
      <w:r w:rsidR="00E92EDE">
        <w:rPr>
          <w:rFonts w:ascii="Arial" w:eastAsia="Arial" w:hAnsi="Arial" w:cs="Arial"/>
          <w:sz w:val="23"/>
          <w:szCs w:val="23"/>
        </w:rPr>
        <w:t xml:space="preserve"> </w:t>
      </w:r>
      <w:r w:rsidR="001B7471">
        <w:rPr>
          <w:rFonts w:ascii="Arial" w:eastAsia="Arial" w:hAnsi="Arial" w:cs="Arial"/>
          <w:sz w:val="23"/>
          <w:szCs w:val="23"/>
          <w:lang w:val="es-ES"/>
        </w:rPr>
        <w:t>De este modo</w:t>
      </w:r>
      <w:r w:rsidR="001B7471" w:rsidRPr="6CB76B80">
        <w:rPr>
          <w:rFonts w:ascii="Arial" w:eastAsia="Arial" w:hAnsi="Arial" w:cs="Arial"/>
          <w:sz w:val="23"/>
          <w:szCs w:val="23"/>
          <w:lang w:val="es-ES"/>
        </w:rPr>
        <w:t>,</w:t>
      </w:r>
      <w:r w:rsidR="001B7471">
        <w:rPr>
          <w:rFonts w:ascii="Arial" w:eastAsia="Arial" w:hAnsi="Arial" w:cs="Arial"/>
          <w:sz w:val="23"/>
          <w:szCs w:val="23"/>
          <w:lang w:val="es-ES"/>
        </w:rPr>
        <w:t xml:space="preserve"> la Agencia Nacional de Contratación Pública decide que es indispensable que la experiencia </w:t>
      </w:r>
      <w:r w:rsidR="7C3627A0" w:rsidRPr="751CAD98">
        <w:rPr>
          <w:rFonts w:ascii="Arial" w:eastAsia="Arial" w:hAnsi="Arial" w:cs="Arial"/>
          <w:sz w:val="23"/>
          <w:szCs w:val="23"/>
          <w:lang w:val="es-ES"/>
        </w:rPr>
        <w:t xml:space="preserve">válida adquirida </w:t>
      </w:r>
      <w:r w:rsidR="001B7471">
        <w:rPr>
          <w:rFonts w:ascii="Arial" w:eastAsia="Arial" w:hAnsi="Arial" w:cs="Arial"/>
          <w:sz w:val="23"/>
          <w:szCs w:val="23"/>
          <w:lang w:val="es-ES"/>
        </w:rPr>
        <w:t xml:space="preserve">en los proyectos de concesiones viales sea únicamente la relacionada con la etapa constructiva y, por tanto, no se tenga como válida la relacionada con la </w:t>
      </w:r>
      <w:r w:rsidR="001B7471" w:rsidRPr="001114A1">
        <w:rPr>
          <w:rFonts w:ascii="Arial" w:eastAsia="Arial" w:hAnsi="Arial" w:cs="Arial"/>
          <w:sz w:val="23"/>
          <w:szCs w:val="23"/>
          <w:lang w:val="es-ES"/>
        </w:rPr>
        <w:t xml:space="preserve">etapa de administración, operación y mantenimiento de la </w:t>
      </w:r>
      <w:r w:rsidR="17220CA0" w:rsidRPr="751CAD98">
        <w:rPr>
          <w:rFonts w:ascii="Arial" w:eastAsia="Arial" w:hAnsi="Arial" w:cs="Arial"/>
          <w:sz w:val="23"/>
          <w:szCs w:val="23"/>
          <w:lang w:val="es-ES"/>
        </w:rPr>
        <w:t>infraestructura otorgada en concesión</w:t>
      </w:r>
      <w:r w:rsidR="249D4564" w:rsidRPr="623455F5">
        <w:rPr>
          <w:rFonts w:ascii="Arial" w:eastAsia="Arial" w:hAnsi="Arial" w:cs="Arial"/>
          <w:sz w:val="23"/>
          <w:szCs w:val="23"/>
          <w:lang w:val="es-ES"/>
        </w:rPr>
        <w:t>.</w:t>
      </w:r>
    </w:p>
    <w:p w14:paraId="713D3CF9" w14:textId="2D8606C4" w:rsidR="004E57BB" w:rsidRPr="001114A1" w:rsidRDefault="009C4C41" w:rsidP="00542376">
      <w:pPr>
        <w:spacing w:line="264" w:lineRule="auto"/>
        <w:jc w:val="both"/>
      </w:pPr>
      <w:r>
        <w:rPr>
          <w:rFonts w:ascii="Arial" w:eastAsia="Arial" w:hAnsi="Arial" w:cs="Arial"/>
          <w:sz w:val="23"/>
          <w:szCs w:val="23"/>
          <w:lang w:val="es-ES"/>
        </w:rPr>
        <w:t xml:space="preserve">Por otro lado, </w:t>
      </w:r>
      <w:r w:rsidR="00365354" w:rsidRPr="00365354">
        <w:rPr>
          <w:rFonts w:ascii="Arial" w:eastAsia="Arial" w:hAnsi="Arial" w:cs="Arial"/>
          <w:sz w:val="23"/>
          <w:szCs w:val="23"/>
          <w:lang w:val="es-ES"/>
        </w:rPr>
        <w:t xml:space="preserve">para generar mayor confianza en la acreditación de la experiencia proveniente de los subcontratos derivados de contratos suscritos entre particulares y entidades públicas, y con la finalidad de definir el alcance de las labores efectivamente subcontratadas, se considera necesario incluir como documento adicional la copia de la garantía derivada del subcontrato, en los casos en que exista, para que se tenga como válida esa experiencia. Este documento </w:t>
      </w:r>
      <w:r w:rsidR="00365354" w:rsidRPr="00365354">
        <w:rPr>
          <w:rFonts w:ascii="Arial" w:eastAsia="Arial" w:hAnsi="Arial" w:cs="Arial"/>
          <w:sz w:val="23"/>
          <w:szCs w:val="23"/>
          <w:lang w:val="es-ES"/>
        </w:rPr>
        <w:lastRenderedPageBreak/>
        <w:t>adicional generará mayor confiabilidad respecto al alcance físico y el monto de dichos contratos, sin perjuicio de que con otros documentos también se detalle la magnitud del subcontrato realizado.</w:t>
      </w:r>
    </w:p>
    <w:p w14:paraId="0000003D" w14:textId="77777777" w:rsidR="008477E2" w:rsidRDefault="00204519">
      <w:pPr>
        <w:pStyle w:val="Normal0"/>
        <w:numPr>
          <w:ilvl w:val="0"/>
          <w:numId w:val="1"/>
        </w:numPr>
        <w:spacing w:after="0" w:line="240" w:lineRule="auto"/>
        <w:ind w:left="0" w:right="51" w:firstLine="0"/>
        <w:jc w:val="both"/>
        <w:rPr>
          <w:rFonts w:ascii="Arial" w:eastAsia="Arial" w:hAnsi="Arial" w:cs="Arial"/>
          <w:b/>
          <w:sz w:val="23"/>
          <w:szCs w:val="23"/>
        </w:rPr>
      </w:pPr>
      <w:r>
        <w:rPr>
          <w:rFonts w:ascii="Arial" w:eastAsia="Arial" w:hAnsi="Arial" w:cs="Arial"/>
          <w:b/>
          <w:sz w:val="23"/>
          <w:szCs w:val="23"/>
        </w:rPr>
        <w:t xml:space="preserve">Estructura de la Resolución </w:t>
      </w:r>
    </w:p>
    <w:p w14:paraId="0000003E" w14:textId="77777777" w:rsidR="008477E2" w:rsidRDefault="008477E2">
      <w:pPr>
        <w:pStyle w:val="Normal0"/>
        <w:pBdr>
          <w:top w:val="nil"/>
          <w:left w:val="nil"/>
          <w:bottom w:val="nil"/>
          <w:right w:val="nil"/>
          <w:between w:val="nil"/>
        </w:pBdr>
        <w:shd w:val="clear" w:color="auto" w:fill="FFFFFF"/>
        <w:tabs>
          <w:tab w:val="left" w:pos="1134"/>
        </w:tabs>
        <w:spacing w:after="0" w:line="264" w:lineRule="auto"/>
        <w:jc w:val="both"/>
        <w:rPr>
          <w:rFonts w:ascii="Arial" w:eastAsia="Arial" w:hAnsi="Arial" w:cs="Arial"/>
          <w:color w:val="000000"/>
          <w:sz w:val="23"/>
          <w:szCs w:val="23"/>
        </w:rPr>
      </w:pPr>
    </w:p>
    <w:p w14:paraId="4B8D46C7" w14:textId="65C73E95" w:rsidR="00150B57" w:rsidRDefault="50853EC5"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Atendiendo la temática expuesta</w:t>
      </w:r>
      <w:r w:rsidR="3F199195" w:rsidRPr="6CB76B80">
        <w:rPr>
          <w:rFonts w:ascii="Arial" w:eastAsia="Arial" w:hAnsi="Arial" w:cs="Arial"/>
          <w:color w:val="000000" w:themeColor="text1"/>
          <w:sz w:val="23"/>
          <w:szCs w:val="23"/>
        </w:rPr>
        <w:t>,</w:t>
      </w:r>
      <w:r w:rsidR="08F2CAC9" w:rsidRPr="6CB76B80">
        <w:rPr>
          <w:rFonts w:ascii="Arial" w:eastAsia="Arial" w:hAnsi="Arial" w:cs="Arial"/>
          <w:color w:val="000000" w:themeColor="text1"/>
          <w:sz w:val="23"/>
          <w:szCs w:val="23"/>
        </w:rPr>
        <w:t xml:space="preserve"> la Resolución modifica en su articulado los siguientes aspectos de los documentos tipo:</w:t>
      </w:r>
      <w:r w:rsidR="00204519" w:rsidRPr="6CB76B80">
        <w:rPr>
          <w:rFonts w:ascii="Arial" w:eastAsia="Arial" w:hAnsi="Arial" w:cs="Arial"/>
          <w:color w:val="000000" w:themeColor="text1"/>
          <w:sz w:val="23"/>
          <w:szCs w:val="23"/>
        </w:rPr>
        <w:t xml:space="preserve"> en </w:t>
      </w:r>
      <w:r w:rsidR="009B4FD6" w:rsidRPr="6CB76B80">
        <w:rPr>
          <w:rFonts w:ascii="Arial" w:eastAsia="Arial" w:hAnsi="Arial" w:cs="Arial"/>
          <w:color w:val="000000" w:themeColor="text1"/>
          <w:sz w:val="23"/>
          <w:szCs w:val="23"/>
        </w:rPr>
        <w:t>el</w:t>
      </w:r>
      <w:r w:rsidR="00204519" w:rsidRPr="6CB76B80">
        <w:rPr>
          <w:rFonts w:ascii="Arial" w:eastAsia="Arial" w:hAnsi="Arial" w:cs="Arial"/>
          <w:color w:val="000000" w:themeColor="text1"/>
          <w:sz w:val="23"/>
          <w:szCs w:val="23"/>
        </w:rPr>
        <w:t xml:space="preserve"> artículo 1 se </w:t>
      </w:r>
      <w:r w:rsidR="008E08FA" w:rsidRPr="6CB76B80">
        <w:rPr>
          <w:rFonts w:ascii="Arial" w:eastAsia="Arial" w:hAnsi="Arial" w:cs="Arial"/>
          <w:color w:val="000000" w:themeColor="text1"/>
          <w:sz w:val="23"/>
          <w:szCs w:val="23"/>
        </w:rPr>
        <w:t xml:space="preserve">modifica los numerales </w:t>
      </w:r>
      <w:r w:rsidR="00B94822" w:rsidRPr="6CB76B80">
        <w:rPr>
          <w:rFonts w:ascii="Arial" w:eastAsia="Arial" w:hAnsi="Arial" w:cs="Arial"/>
          <w:color w:val="000000" w:themeColor="text1"/>
          <w:sz w:val="23"/>
          <w:szCs w:val="23"/>
        </w:rPr>
        <w:t>«</w:t>
      </w:r>
      <w:r w:rsidR="008E08FA" w:rsidRPr="6CB76B80">
        <w:rPr>
          <w:rFonts w:ascii="Arial" w:eastAsia="Arial" w:hAnsi="Arial" w:cs="Arial"/>
          <w:color w:val="000000" w:themeColor="text1"/>
          <w:sz w:val="23"/>
          <w:szCs w:val="23"/>
        </w:rPr>
        <w:t>4.6</w:t>
      </w:r>
      <w:r w:rsidR="00B94822" w:rsidRPr="6CB76B80">
        <w:rPr>
          <w:rFonts w:ascii="Arial" w:eastAsia="Arial" w:hAnsi="Arial" w:cs="Arial"/>
          <w:color w:val="000000" w:themeColor="text1"/>
          <w:sz w:val="23"/>
          <w:szCs w:val="23"/>
        </w:rPr>
        <w:t xml:space="preserve"> Criterios de desempate»</w:t>
      </w:r>
      <w:r w:rsidR="008E08FA" w:rsidRPr="6CB76B80">
        <w:rPr>
          <w:rFonts w:ascii="Arial" w:eastAsia="Arial" w:hAnsi="Arial" w:cs="Arial"/>
          <w:color w:val="000000" w:themeColor="text1"/>
          <w:sz w:val="23"/>
          <w:szCs w:val="23"/>
        </w:rPr>
        <w:t xml:space="preserve"> de los documentos tipo de obra </w:t>
      </w:r>
      <w:r w:rsidR="005F32AE" w:rsidRPr="6CB76B80">
        <w:rPr>
          <w:rFonts w:ascii="Arial" w:eastAsia="Arial" w:hAnsi="Arial" w:cs="Arial"/>
          <w:color w:val="000000" w:themeColor="text1"/>
          <w:sz w:val="23"/>
          <w:szCs w:val="23"/>
        </w:rPr>
        <w:t>pública de infraestructura de transporte adelantados bajo la modalidad de licitación pública</w:t>
      </w:r>
      <w:r w:rsidR="00B94822" w:rsidRPr="6CB76B80">
        <w:rPr>
          <w:rFonts w:ascii="Arial" w:eastAsia="Arial" w:hAnsi="Arial" w:cs="Arial"/>
          <w:color w:val="000000" w:themeColor="text1"/>
          <w:sz w:val="23"/>
          <w:szCs w:val="23"/>
        </w:rPr>
        <w:t xml:space="preserve"> -versión 3-</w:t>
      </w:r>
      <w:r w:rsidR="002E037C" w:rsidRPr="6CB76B80">
        <w:rPr>
          <w:rFonts w:ascii="Arial" w:eastAsia="Arial" w:hAnsi="Arial" w:cs="Arial"/>
          <w:color w:val="000000" w:themeColor="text1"/>
          <w:sz w:val="23"/>
          <w:szCs w:val="23"/>
        </w:rPr>
        <w:t>,</w:t>
      </w:r>
      <w:r w:rsidR="005D07E0" w:rsidRPr="6CB76B80">
        <w:rPr>
          <w:rFonts w:ascii="Arial" w:eastAsia="Arial" w:hAnsi="Arial" w:cs="Arial"/>
          <w:color w:val="000000" w:themeColor="text1"/>
          <w:sz w:val="23"/>
          <w:szCs w:val="23"/>
        </w:rPr>
        <w:t xml:space="preserve"> adoptados</w:t>
      </w:r>
      <w:r w:rsidR="002E037C" w:rsidRPr="6CB76B80">
        <w:rPr>
          <w:rFonts w:ascii="Arial" w:eastAsia="Arial" w:hAnsi="Arial" w:cs="Arial"/>
          <w:color w:val="000000" w:themeColor="text1"/>
          <w:sz w:val="23"/>
          <w:szCs w:val="23"/>
        </w:rPr>
        <w:t xml:space="preserve"> </w:t>
      </w:r>
      <w:r w:rsidR="005D07E0" w:rsidRPr="6CB76B80">
        <w:rPr>
          <w:rFonts w:ascii="Arial" w:eastAsia="Arial" w:hAnsi="Arial" w:cs="Arial"/>
          <w:color w:val="000000" w:themeColor="text1"/>
          <w:sz w:val="23"/>
          <w:szCs w:val="23"/>
        </w:rPr>
        <w:t>mediante la resolución 240 del 27 de noviembre de 2020</w:t>
      </w:r>
      <w:r w:rsidR="009E1636" w:rsidRPr="6CB76B80">
        <w:rPr>
          <w:rFonts w:ascii="Arial" w:eastAsia="Arial" w:hAnsi="Arial" w:cs="Arial"/>
          <w:color w:val="000000" w:themeColor="text1"/>
          <w:sz w:val="23"/>
          <w:szCs w:val="23"/>
        </w:rPr>
        <w:t xml:space="preserve">, y </w:t>
      </w:r>
      <w:r w:rsidR="005D07E0" w:rsidRPr="6CB76B80">
        <w:rPr>
          <w:rFonts w:ascii="Arial" w:eastAsia="Arial" w:hAnsi="Arial" w:cs="Arial"/>
          <w:color w:val="000000" w:themeColor="text1"/>
          <w:sz w:val="23"/>
          <w:szCs w:val="23"/>
        </w:rPr>
        <w:t xml:space="preserve">de los documentos tipo </w:t>
      </w:r>
      <w:r w:rsidR="00C72C1C" w:rsidRPr="6CB76B80">
        <w:rPr>
          <w:rFonts w:ascii="Arial" w:eastAsia="Arial" w:hAnsi="Arial" w:cs="Arial"/>
          <w:color w:val="000000" w:themeColor="text1"/>
          <w:sz w:val="23"/>
          <w:szCs w:val="23"/>
        </w:rPr>
        <w:t>para</w:t>
      </w:r>
      <w:r w:rsidR="00A76975" w:rsidRPr="6CB76B80">
        <w:rPr>
          <w:rFonts w:ascii="Arial" w:eastAsia="Arial" w:hAnsi="Arial" w:cs="Arial"/>
          <w:color w:val="000000" w:themeColor="text1"/>
          <w:sz w:val="23"/>
          <w:szCs w:val="23"/>
        </w:rPr>
        <w:t xml:space="preserve"> proyectos </w:t>
      </w:r>
      <w:r w:rsidR="006A2212" w:rsidRPr="6CB76B80">
        <w:rPr>
          <w:rFonts w:ascii="Arial" w:eastAsia="Arial" w:hAnsi="Arial" w:cs="Arial"/>
          <w:color w:val="000000" w:themeColor="text1"/>
          <w:sz w:val="23"/>
          <w:szCs w:val="23"/>
        </w:rPr>
        <w:t xml:space="preserve">de obra pública </w:t>
      </w:r>
      <w:r w:rsidR="00A76975" w:rsidRPr="6CB76B80">
        <w:rPr>
          <w:rFonts w:ascii="Arial" w:eastAsia="Arial" w:hAnsi="Arial" w:cs="Arial"/>
          <w:color w:val="000000" w:themeColor="text1"/>
          <w:sz w:val="23"/>
          <w:szCs w:val="23"/>
        </w:rPr>
        <w:t>de ag</w:t>
      </w:r>
      <w:r w:rsidR="00CA5F7D" w:rsidRPr="6CB76B80">
        <w:rPr>
          <w:rFonts w:ascii="Arial" w:eastAsia="Arial" w:hAnsi="Arial" w:cs="Arial"/>
          <w:color w:val="000000" w:themeColor="text1"/>
          <w:sz w:val="23"/>
          <w:szCs w:val="23"/>
        </w:rPr>
        <w:t>ua potable y saneamiento básico adelantados bajo la modalidad de licitación pública</w:t>
      </w:r>
      <w:r w:rsidR="00C72C1C" w:rsidRPr="6CB76B80">
        <w:rPr>
          <w:rFonts w:ascii="Arial" w:eastAsia="Arial" w:hAnsi="Arial" w:cs="Arial"/>
          <w:color w:val="000000" w:themeColor="text1"/>
          <w:sz w:val="23"/>
          <w:szCs w:val="23"/>
        </w:rPr>
        <w:t>, adoptados mediante la Resolución 248 del 1 de diciembre de 2020</w:t>
      </w:r>
      <w:r w:rsidR="00CA5F7D" w:rsidRPr="6CB76B80">
        <w:rPr>
          <w:rFonts w:ascii="Arial" w:eastAsia="Arial" w:hAnsi="Arial" w:cs="Arial"/>
          <w:color w:val="000000" w:themeColor="text1"/>
          <w:sz w:val="23"/>
          <w:szCs w:val="23"/>
        </w:rPr>
        <w:t xml:space="preserve"> y los de modalidad de llave en mano</w:t>
      </w:r>
      <w:r w:rsidR="00C72C1C" w:rsidRPr="6CB76B80">
        <w:rPr>
          <w:rFonts w:ascii="Arial" w:eastAsia="Arial" w:hAnsi="Arial" w:cs="Arial"/>
          <w:color w:val="000000" w:themeColor="text1"/>
          <w:sz w:val="23"/>
          <w:szCs w:val="23"/>
        </w:rPr>
        <w:t xml:space="preserve">, </w:t>
      </w:r>
      <w:r w:rsidR="00E35DC8" w:rsidRPr="6CB76B80">
        <w:rPr>
          <w:rFonts w:ascii="Arial" w:eastAsia="Arial" w:hAnsi="Arial" w:cs="Arial"/>
          <w:color w:val="000000" w:themeColor="text1"/>
          <w:sz w:val="23"/>
          <w:szCs w:val="23"/>
        </w:rPr>
        <w:t xml:space="preserve">adoptados mediante la </w:t>
      </w:r>
      <w:r w:rsidR="00763474" w:rsidRPr="6CB76B80">
        <w:rPr>
          <w:rFonts w:ascii="Arial" w:eastAsia="Arial" w:hAnsi="Arial" w:cs="Arial"/>
          <w:color w:val="000000" w:themeColor="text1"/>
          <w:sz w:val="23"/>
          <w:szCs w:val="23"/>
        </w:rPr>
        <w:t>Resolución 249 del 1 de diciembre de 2020</w:t>
      </w:r>
      <w:r w:rsidR="00CA5F7D" w:rsidRPr="6CB76B80">
        <w:rPr>
          <w:rFonts w:ascii="Arial" w:eastAsia="Arial" w:hAnsi="Arial" w:cs="Arial"/>
          <w:color w:val="000000" w:themeColor="text1"/>
          <w:sz w:val="23"/>
          <w:szCs w:val="23"/>
        </w:rPr>
        <w:t xml:space="preserve">. </w:t>
      </w:r>
      <w:r w:rsidR="00B94822" w:rsidRPr="6CB76B80">
        <w:rPr>
          <w:rFonts w:ascii="Arial" w:eastAsia="Arial" w:hAnsi="Arial" w:cs="Arial"/>
          <w:color w:val="000000" w:themeColor="text1"/>
          <w:sz w:val="23"/>
          <w:szCs w:val="23"/>
        </w:rPr>
        <w:t xml:space="preserve">De este modo, se define la forma en la cual se acreditarán </w:t>
      </w:r>
      <w:r w:rsidR="00763474" w:rsidRPr="6CB76B80">
        <w:rPr>
          <w:rFonts w:ascii="Arial" w:eastAsia="Arial" w:hAnsi="Arial" w:cs="Arial"/>
          <w:color w:val="000000" w:themeColor="text1"/>
          <w:sz w:val="23"/>
          <w:szCs w:val="23"/>
        </w:rPr>
        <w:t>los factores de desempate previstos en el artículo 35 de la Ley 2069 de 2020.</w:t>
      </w:r>
      <w:r w:rsidR="00DC6C1B" w:rsidRPr="6CB76B80">
        <w:rPr>
          <w:rFonts w:ascii="Arial" w:eastAsia="Arial" w:hAnsi="Arial" w:cs="Arial"/>
          <w:color w:val="000000" w:themeColor="text1"/>
          <w:sz w:val="23"/>
          <w:szCs w:val="23"/>
        </w:rPr>
        <w:t xml:space="preserve"> Por su parte, el artículo 2 incluye el «Formato 10 – Criterios de desempate»</w:t>
      </w:r>
      <w:r w:rsidR="00717528" w:rsidRPr="6CB76B80">
        <w:rPr>
          <w:rFonts w:ascii="Arial" w:eastAsia="Arial" w:hAnsi="Arial" w:cs="Arial"/>
          <w:color w:val="000000" w:themeColor="text1"/>
          <w:sz w:val="23"/>
          <w:szCs w:val="23"/>
        </w:rPr>
        <w:t xml:space="preserve"> a los documentos tipo </w:t>
      </w:r>
      <w:r w:rsidR="001242BF" w:rsidRPr="6CB76B80">
        <w:rPr>
          <w:rFonts w:ascii="Arial" w:eastAsia="Arial" w:hAnsi="Arial" w:cs="Arial"/>
          <w:color w:val="000000" w:themeColor="text1"/>
          <w:sz w:val="23"/>
          <w:szCs w:val="23"/>
        </w:rPr>
        <w:t>mencionados en</w:t>
      </w:r>
      <w:r w:rsidR="00717528" w:rsidRPr="6CB76B80">
        <w:rPr>
          <w:rFonts w:ascii="Arial" w:eastAsia="Arial" w:hAnsi="Arial" w:cs="Arial"/>
          <w:color w:val="000000" w:themeColor="text1"/>
          <w:sz w:val="23"/>
          <w:szCs w:val="23"/>
        </w:rPr>
        <w:t xml:space="preserve"> el artículo 1</w:t>
      </w:r>
      <w:r w:rsidR="00DC6C1B" w:rsidRPr="6CB76B80">
        <w:rPr>
          <w:rFonts w:ascii="Arial" w:eastAsia="Arial" w:hAnsi="Arial" w:cs="Arial"/>
          <w:color w:val="000000" w:themeColor="text1"/>
          <w:sz w:val="23"/>
          <w:szCs w:val="23"/>
        </w:rPr>
        <w:t xml:space="preserve">, </w:t>
      </w:r>
      <w:r w:rsidR="00345F06" w:rsidRPr="6CB76B80">
        <w:rPr>
          <w:rFonts w:ascii="Arial" w:eastAsia="Arial" w:hAnsi="Arial" w:cs="Arial"/>
          <w:color w:val="000000" w:themeColor="text1"/>
          <w:sz w:val="23"/>
          <w:szCs w:val="23"/>
        </w:rPr>
        <w:t>para que los proponentes</w:t>
      </w:r>
      <w:r w:rsidR="00B31902" w:rsidRPr="6CB76B80">
        <w:rPr>
          <w:rFonts w:ascii="Arial" w:eastAsia="Arial" w:hAnsi="Arial" w:cs="Arial"/>
          <w:color w:val="000000" w:themeColor="text1"/>
          <w:sz w:val="23"/>
          <w:szCs w:val="23"/>
        </w:rPr>
        <w:t xml:space="preserve"> los</w:t>
      </w:r>
      <w:r w:rsidR="00345F06" w:rsidRPr="6CB76B80">
        <w:rPr>
          <w:rFonts w:ascii="Arial" w:eastAsia="Arial" w:hAnsi="Arial" w:cs="Arial"/>
          <w:color w:val="000000" w:themeColor="text1"/>
          <w:sz w:val="23"/>
          <w:szCs w:val="23"/>
        </w:rPr>
        <w:t xml:space="preserve"> diligencien </w:t>
      </w:r>
      <w:r w:rsidR="00B31902" w:rsidRPr="6CB76B80">
        <w:rPr>
          <w:rFonts w:ascii="Arial" w:eastAsia="Arial" w:hAnsi="Arial" w:cs="Arial"/>
          <w:color w:val="000000" w:themeColor="text1"/>
          <w:sz w:val="23"/>
          <w:szCs w:val="23"/>
        </w:rPr>
        <w:t>y de este modo acrediten</w:t>
      </w:r>
      <w:r w:rsidR="00345F06" w:rsidRPr="6CB76B80">
        <w:rPr>
          <w:rFonts w:ascii="Arial" w:eastAsia="Arial" w:hAnsi="Arial" w:cs="Arial"/>
          <w:color w:val="000000" w:themeColor="text1"/>
          <w:sz w:val="23"/>
          <w:szCs w:val="23"/>
        </w:rPr>
        <w:t xml:space="preserve"> cada </w:t>
      </w:r>
      <w:r w:rsidR="00852E24" w:rsidRPr="6CB76B80">
        <w:rPr>
          <w:rFonts w:ascii="Arial" w:eastAsia="Arial" w:hAnsi="Arial" w:cs="Arial"/>
          <w:color w:val="000000" w:themeColor="text1"/>
          <w:sz w:val="23"/>
          <w:szCs w:val="23"/>
        </w:rPr>
        <w:t>criterio</w:t>
      </w:r>
      <w:r w:rsidR="00345F06" w:rsidRPr="6CB76B80">
        <w:rPr>
          <w:rFonts w:ascii="Arial" w:eastAsia="Arial" w:hAnsi="Arial" w:cs="Arial"/>
          <w:color w:val="000000" w:themeColor="text1"/>
          <w:sz w:val="23"/>
          <w:szCs w:val="23"/>
        </w:rPr>
        <w:t xml:space="preserve"> de desempate</w:t>
      </w:r>
      <w:r w:rsidR="009B4FD6" w:rsidRPr="6CB76B80">
        <w:rPr>
          <w:rFonts w:ascii="Arial" w:eastAsia="Arial" w:hAnsi="Arial" w:cs="Arial"/>
          <w:color w:val="000000" w:themeColor="text1"/>
          <w:sz w:val="23"/>
          <w:szCs w:val="23"/>
        </w:rPr>
        <w:t>.</w:t>
      </w:r>
    </w:p>
    <w:p w14:paraId="13EA3C9E" w14:textId="1C242AEE" w:rsidR="0093649D" w:rsidRDefault="0093649D">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328FA269" w14:textId="27B8D5FD" w:rsidR="0093649D" w:rsidRDefault="5EA3F9B5"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De igual forma</w:t>
      </w:r>
      <w:r w:rsidR="0093649D" w:rsidRPr="6CB76B80">
        <w:rPr>
          <w:rFonts w:ascii="Arial" w:eastAsia="Arial" w:hAnsi="Arial" w:cs="Arial"/>
          <w:color w:val="000000" w:themeColor="text1"/>
          <w:sz w:val="23"/>
          <w:szCs w:val="23"/>
        </w:rPr>
        <w:t>, el art</w:t>
      </w:r>
      <w:r w:rsidR="00935998" w:rsidRPr="6CB76B80">
        <w:rPr>
          <w:rFonts w:ascii="Arial" w:eastAsia="Arial" w:hAnsi="Arial" w:cs="Arial"/>
          <w:color w:val="000000" w:themeColor="text1"/>
          <w:sz w:val="23"/>
          <w:szCs w:val="23"/>
        </w:rPr>
        <w:t xml:space="preserve">ículo 3, </w:t>
      </w:r>
      <w:r w:rsidR="00CF19FA" w:rsidRPr="6CB76B80">
        <w:rPr>
          <w:rFonts w:ascii="Arial" w:eastAsia="Arial" w:hAnsi="Arial" w:cs="Arial"/>
          <w:color w:val="000000" w:themeColor="text1"/>
          <w:sz w:val="23"/>
          <w:szCs w:val="23"/>
        </w:rPr>
        <w:t>incluye el «Formato 11 – Autorización para el tratamiento de datos</w:t>
      </w:r>
      <w:r w:rsidR="008F291B" w:rsidRPr="6CB76B80">
        <w:rPr>
          <w:rFonts w:ascii="Arial" w:eastAsia="Arial" w:hAnsi="Arial" w:cs="Arial"/>
          <w:color w:val="000000" w:themeColor="text1"/>
          <w:sz w:val="23"/>
          <w:szCs w:val="23"/>
        </w:rPr>
        <w:t xml:space="preserve"> personales»</w:t>
      </w:r>
      <w:r w:rsidR="00CA1FDC" w:rsidRPr="6CB76B80">
        <w:rPr>
          <w:rFonts w:ascii="Arial" w:eastAsia="Arial" w:hAnsi="Arial" w:cs="Arial"/>
          <w:color w:val="000000" w:themeColor="text1"/>
          <w:sz w:val="23"/>
          <w:szCs w:val="23"/>
        </w:rPr>
        <w:t xml:space="preserve"> a los documentos tipo </w:t>
      </w:r>
      <w:r w:rsidR="00112B68" w:rsidRPr="6CB76B80">
        <w:rPr>
          <w:rFonts w:ascii="Arial" w:eastAsia="Arial" w:hAnsi="Arial" w:cs="Arial"/>
          <w:color w:val="000000" w:themeColor="text1"/>
          <w:sz w:val="23"/>
          <w:szCs w:val="23"/>
        </w:rPr>
        <w:t>referidos en el artículo 1</w:t>
      </w:r>
      <w:r w:rsidR="00ED0040" w:rsidRPr="6CB76B80">
        <w:rPr>
          <w:rFonts w:ascii="Arial" w:eastAsia="Arial" w:hAnsi="Arial" w:cs="Arial"/>
          <w:color w:val="000000" w:themeColor="text1"/>
          <w:sz w:val="23"/>
          <w:szCs w:val="23"/>
        </w:rPr>
        <w:t>, y a</w:t>
      </w:r>
      <w:r w:rsidR="00304BEA" w:rsidRPr="6CB76B80">
        <w:rPr>
          <w:rFonts w:ascii="Arial" w:eastAsia="Arial" w:hAnsi="Arial" w:cs="Arial"/>
          <w:color w:val="000000" w:themeColor="text1"/>
          <w:sz w:val="23"/>
          <w:szCs w:val="23"/>
        </w:rPr>
        <w:t>demás, a</w:t>
      </w:r>
      <w:r w:rsidR="00ED0040" w:rsidRPr="6CB76B80">
        <w:rPr>
          <w:rFonts w:ascii="Arial" w:eastAsia="Arial" w:hAnsi="Arial" w:cs="Arial"/>
          <w:color w:val="000000" w:themeColor="text1"/>
          <w:sz w:val="23"/>
          <w:szCs w:val="23"/>
        </w:rPr>
        <w:t xml:space="preserve"> los documentos tipo de obra pública </w:t>
      </w:r>
      <w:r w:rsidR="005D0F25" w:rsidRPr="6CB76B80">
        <w:rPr>
          <w:rFonts w:ascii="Arial" w:eastAsia="Arial" w:hAnsi="Arial" w:cs="Arial"/>
          <w:color w:val="000000" w:themeColor="text1"/>
          <w:sz w:val="23"/>
          <w:szCs w:val="23"/>
        </w:rPr>
        <w:t>de infraestructura de transporte adelantados bajo la modalidad de selección abreviada de menor cuantía -versión 2-</w:t>
      </w:r>
      <w:r w:rsidR="00112B68" w:rsidRPr="6CB76B80">
        <w:rPr>
          <w:rFonts w:ascii="Arial" w:eastAsia="Arial" w:hAnsi="Arial" w:cs="Arial"/>
          <w:color w:val="000000" w:themeColor="text1"/>
          <w:sz w:val="23"/>
          <w:szCs w:val="23"/>
        </w:rPr>
        <w:t xml:space="preserve">, para </w:t>
      </w:r>
      <w:r w:rsidR="00CA1FDC" w:rsidRPr="6CB76B80">
        <w:rPr>
          <w:rFonts w:ascii="Arial" w:eastAsia="Arial" w:hAnsi="Arial" w:cs="Arial"/>
          <w:color w:val="000000" w:themeColor="text1"/>
          <w:sz w:val="23"/>
          <w:szCs w:val="23"/>
        </w:rPr>
        <w:t>garantiza</w:t>
      </w:r>
      <w:r w:rsidR="00112B68" w:rsidRPr="6CB76B80">
        <w:rPr>
          <w:rFonts w:ascii="Arial" w:eastAsia="Arial" w:hAnsi="Arial" w:cs="Arial"/>
          <w:color w:val="000000" w:themeColor="text1"/>
          <w:sz w:val="23"/>
          <w:szCs w:val="23"/>
        </w:rPr>
        <w:t>r</w:t>
      </w:r>
      <w:r w:rsidR="00CA1FDC" w:rsidRPr="6CB76B80">
        <w:rPr>
          <w:rFonts w:ascii="Arial" w:eastAsia="Arial" w:hAnsi="Arial" w:cs="Arial"/>
          <w:color w:val="000000" w:themeColor="text1"/>
          <w:sz w:val="23"/>
          <w:szCs w:val="23"/>
        </w:rPr>
        <w:t xml:space="preserve"> un tratamiento adecuado al manejo de datos sensibles a las personas víctimas de violencia intrafami</w:t>
      </w:r>
      <w:r w:rsidR="00112B68" w:rsidRPr="6CB76B80">
        <w:rPr>
          <w:rFonts w:ascii="Arial" w:eastAsia="Arial" w:hAnsi="Arial" w:cs="Arial"/>
          <w:color w:val="000000" w:themeColor="text1"/>
          <w:sz w:val="23"/>
          <w:szCs w:val="23"/>
        </w:rPr>
        <w:t xml:space="preserve">liar, personas en proceso de reincorporación o reintegración </w:t>
      </w:r>
      <w:r w:rsidR="009B4FD6" w:rsidRPr="6CB76B80">
        <w:rPr>
          <w:rFonts w:ascii="Arial" w:eastAsia="Arial" w:hAnsi="Arial" w:cs="Arial"/>
          <w:color w:val="000000" w:themeColor="text1"/>
          <w:sz w:val="23"/>
          <w:szCs w:val="23"/>
        </w:rPr>
        <w:t xml:space="preserve">y </w:t>
      </w:r>
      <w:r w:rsidR="00A33A9C" w:rsidRPr="6CB76B80">
        <w:rPr>
          <w:rFonts w:ascii="Arial" w:eastAsia="Arial" w:hAnsi="Arial" w:cs="Arial"/>
          <w:color w:val="000000" w:themeColor="text1"/>
          <w:sz w:val="23"/>
          <w:szCs w:val="23"/>
        </w:rPr>
        <w:t xml:space="preserve">el trabajador que pertenece a la población indígena, negra, afrocolombiana, raizal, palanquera, </w:t>
      </w:r>
      <w:proofErr w:type="spellStart"/>
      <w:r w:rsidR="00A33A9C" w:rsidRPr="6CB76B80">
        <w:rPr>
          <w:rFonts w:ascii="Arial" w:eastAsia="Arial" w:hAnsi="Arial" w:cs="Arial"/>
          <w:color w:val="000000" w:themeColor="text1"/>
          <w:sz w:val="23"/>
          <w:szCs w:val="23"/>
        </w:rPr>
        <w:t>Rrom</w:t>
      </w:r>
      <w:proofErr w:type="spellEnd"/>
      <w:r w:rsidR="00A33A9C" w:rsidRPr="6CB76B80">
        <w:rPr>
          <w:rFonts w:ascii="Arial" w:eastAsia="Arial" w:hAnsi="Arial" w:cs="Arial"/>
          <w:color w:val="000000" w:themeColor="text1"/>
          <w:sz w:val="23"/>
          <w:szCs w:val="23"/>
        </w:rPr>
        <w:t xml:space="preserve"> o gitanas. </w:t>
      </w:r>
    </w:p>
    <w:p w14:paraId="01C3DCBC" w14:textId="51F7BC7D" w:rsidR="009E5F22" w:rsidRDefault="009E5F22">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2806D6FD" w14:textId="78F6080C" w:rsidR="009E5F22" w:rsidRDefault="5DE9BEC8"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Asimismo, </w:t>
      </w:r>
      <w:r w:rsidR="481FB0DF" w:rsidRPr="6CB76B80">
        <w:rPr>
          <w:rFonts w:ascii="Arial" w:eastAsia="Arial" w:hAnsi="Arial" w:cs="Arial"/>
          <w:color w:val="000000" w:themeColor="text1"/>
          <w:sz w:val="23"/>
          <w:szCs w:val="23"/>
        </w:rPr>
        <w:t>e</w:t>
      </w:r>
      <w:r w:rsidR="6CD93E8B" w:rsidRPr="6CB76B80">
        <w:rPr>
          <w:rFonts w:ascii="Arial" w:eastAsia="Arial" w:hAnsi="Arial" w:cs="Arial"/>
          <w:color w:val="000000" w:themeColor="text1"/>
          <w:sz w:val="23"/>
          <w:szCs w:val="23"/>
        </w:rPr>
        <w:t>l</w:t>
      </w:r>
      <w:r w:rsidR="009E5F22" w:rsidRPr="6CB76B80">
        <w:rPr>
          <w:rFonts w:ascii="Arial" w:eastAsia="Arial" w:hAnsi="Arial" w:cs="Arial"/>
          <w:color w:val="000000" w:themeColor="text1"/>
          <w:sz w:val="23"/>
          <w:szCs w:val="23"/>
        </w:rPr>
        <w:t xml:space="preserve"> artículo 4 </w:t>
      </w:r>
      <w:r w:rsidR="00F42735" w:rsidRPr="6CB76B80">
        <w:rPr>
          <w:rFonts w:ascii="Arial" w:eastAsia="Arial" w:hAnsi="Arial" w:cs="Arial"/>
          <w:color w:val="000000" w:themeColor="text1"/>
          <w:sz w:val="23"/>
          <w:szCs w:val="23"/>
        </w:rPr>
        <w:t xml:space="preserve">modifica el </w:t>
      </w:r>
      <w:r w:rsidR="00640435" w:rsidRPr="6CB76B80">
        <w:rPr>
          <w:rFonts w:ascii="Arial" w:eastAsia="Arial" w:hAnsi="Arial" w:cs="Arial"/>
          <w:color w:val="000000" w:themeColor="text1"/>
          <w:sz w:val="23"/>
          <w:szCs w:val="23"/>
        </w:rPr>
        <w:t>«</w:t>
      </w:r>
      <w:r w:rsidR="00F42735" w:rsidRPr="6CB76B80">
        <w:rPr>
          <w:rFonts w:ascii="Arial" w:eastAsia="Arial" w:hAnsi="Arial" w:cs="Arial"/>
          <w:color w:val="000000" w:themeColor="text1"/>
          <w:sz w:val="23"/>
          <w:szCs w:val="23"/>
        </w:rPr>
        <w:t>Formato 8 – Vinculación de personas con discapacidad</w:t>
      </w:r>
      <w:r w:rsidR="00640435" w:rsidRPr="6CB76B80">
        <w:rPr>
          <w:rFonts w:ascii="Arial" w:eastAsia="Arial" w:hAnsi="Arial" w:cs="Arial"/>
          <w:color w:val="000000" w:themeColor="text1"/>
          <w:sz w:val="23"/>
          <w:szCs w:val="23"/>
        </w:rPr>
        <w:t>»</w:t>
      </w:r>
      <w:r w:rsidR="00F42735" w:rsidRPr="6CB76B80">
        <w:rPr>
          <w:rFonts w:ascii="Arial" w:eastAsia="Arial" w:hAnsi="Arial" w:cs="Arial"/>
          <w:color w:val="000000" w:themeColor="text1"/>
          <w:sz w:val="23"/>
          <w:szCs w:val="23"/>
        </w:rPr>
        <w:t xml:space="preserve"> a los documentos tipo mencionados en el artículo 1 de esta resolución, lo anterior, en razón a que el formato </w:t>
      </w:r>
      <w:r w:rsidR="00963432" w:rsidRPr="6CB76B80">
        <w:rPr>
          <w:rFonts w:ascii="Arial" w:eastAsia="Arial" w:hAnsi="Arial" w:cs="Arial"/>
          <w:color w:val="000000" w:themeColor="text1"/>
          <w:sz w:val="23"/>
          <w:szCs w:val="23"/>
        </w:rPr>
        <w:t xml:space="preserve">«8 B </w:t>
      </w:r>
      <w:r w:rsidR="00DF7682" w:rsidRPr="6CB76B80">
        <w:rPr>
          <w:rFonts w:ascii="Arial" w:eastAsia="Arial" w:hAnsi="Arial" w:cs="Arial"/>
          <w:color w:val="000000" w:themeColor="text1"/>
          <w:sz w:val="23"/>
          <w:szCs w:val="23"/>
        </w:rPr>
        <w:t>Vinculación de personas con discapacidad (Criterio de desempate)» se</w:t>
      </w:r>
      <w:r w:rsidR="00F42735" w:rsidRPr="6CB76B80">
        <w:rPr>
          <w:rFonts w:ascii="Arial" w:eastAsia="Arial" w:hAnsi="Arial" w:cs="Arial"/>
          <w:color w:val="000000" w:themeColor="text1"/>
          <w:sz w:val="23"/>
          <w:szCs w:val="23"/>
        </w:rPr>
        <w:t xml:space="preserve"> incluye en </w:t>
      </w:r>
      <w:r w:rsidR="00DF7682" w:rsidRPr="6CB76B80">
        <w:rPr>
          <w:rFonts w:ascii="Arial" w:eastAsia="Arial" w:hAnsi="Arial" w:cs="Arial"/>
          <w:color w:val="000000" w:themeColor="text1"/>
          <w:sz w:val="23"/>
          <w:szCs w:val="23"/>
        </w:rPr>
        <w:t xml:space="preserve">el </w:t>
      </w:r>
      <w:r w:rsidR="00F42735" w:rsidRPr="6CB76B80">
        <w:rPr>
          <w:rFonts w:ascii="Arial" w:eastAsia="Arial" w:hAnsi="Arial" w:cs="Arial"/>
          <w:color w:val="000000" w:themeColor="text1"/>
          <w:sz w:val="23"/>
          <w:szCs w:val="23"/>
        </w:rPr>
        <w:t xml:space="preserve">nuevo «Formato 10 – Criterios de desempate». </w:t>
      </w:r>
    </w:p>
    <w:p w14:paraId="7735B2A6" w14:textId="676EC9EF" w:rsidR="00A33A9C" w:rsidRDefault="00A33A9C">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6BF247C0" w14:textId="7F922DCF" w:rsidR="001A6C8E" w:rsidRDefault="005F32D3"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Por su parte, el artículo 5 </w:t>
      </w:r>
      <w:r w:rsidR="00BE4BB1" w:rsidRPr="6CB76B80">
        <w:rPr>
          <w:rFonts w:ascii="Arial" w:eastAsia="Arial" w:hAnsi="Arial" w:cs="Arial"/>
          <w:color w:val="000000" w:themeColor="text1"/>
          <w:sz w:val="23"/>
          <w:szCs w:val="23"/>
        </w:rPr>
        <w:t>adiciona</w:t>
      </w:r>
      <w:r w:rsidRPr="6CB76B80">
        <w:rPr>
          <w:rFonts w:ascii="Arial" w:eastAsia="Arial" w:hAnsi="Arial" w:cs="Arial"/>
          <w:color w:val="000000" w:themeColor="text1"/>
          <w:sz w:val="23"/>
          <w:szCs w:val="23"/>
        </w:rPr>
        <w:t xml:space="preserve"> el «numeral 1.20 Confidencialidad de la información relacionada con datos sensibles»</w:t>
      </w:r>
      <w:r w:rsidR="00BE4BB1" w:rsidRPr="6CB76B80">
        <w:rPr>
          <w:rFonts w:ascii="Arial" w:eastAsia="Arial" w:hAnsi="Arial" w:cs="Arial"/>
          <w:color w:val="000000" w:themeColor="text1"/>
          <w:sz w:val="23"/>
          <w:szCs w:val="23"/>
        </w:rPr>
        <w:t xml:space="preserve"> en el documento base de</w:t>
      </w:r>
      <w:r w:rsidRPr="6CB76B80">
        <w:rPr>
          <w:rFonts w:ascii="Arial" w:eastAsia="Arial" w:hAnsi="Arial" w:cs="Arial"/>
          <w:color w:val="000000" w:themeColor="text1"/>
          <w:sz w:val="23"/>
          <w:szCs w:val="23"/>
        </w:rPr>
        <w:t xml:space="preserve"> los documentos tipo mencionados en el artículo 1</w:t>
      </w:r>
      <w:r w:rsidR="00A36E25" w:rsidRPr="6CB76B80">
        <w:rPr>
          <w:rFonts w:ascii="Arial" w:eastAsia="Arial" w:hAnsi="Arial" w:cs="Arial"/>
          <w:color w:val="000000" w:themeColor="text1"/>
          <w:sz w:val="23"/>
          <w:szCs w:val="23"/>
        </w:rPr>
        <w:t xml:space="preserve"> y a los documentos tipo de obra pública de infraestructura de transporte adelantados bajo la modalidad de selección abreviada de menor cuantía -versión 2</w:t>
      </w:r>
      <w:r w:rsidR="487F6615" w:rsidRPr="6CB76B80">
        <w:rPr>
          <w:rFonts w:ascii="Arial" w:eastAsia="Arial" w:hAnsi="Arial" w:cs="Arial"/>
          <w:color w:val="000000" w:themeColor="text1"/>
          <w:sz w:val="23"/>
          <w:szCs w:val="23"/>
        </w:rPr>
        <w:t>-</w:t>
      </w:r>
      <w:r w:rsidR="65198C75" w:rsidRPr="6CB76B80">
        <w:rPr>
          <w:rFonts w:ascii="Arial" w:eastAsia="Arial" w:hAnsi="Arial" w:cs="Arial"/>
          <w:color w:val="000000" w:themeColor="text1"/>
          <w:sz w:val="23"/>
          <w:szCs w:val="23"/>
        </w:rPr>
        <w:t>.</w:t>
      </w:r>
      <w:r w:rsidR="42B1117F" w:rsidRPr="6CB76B80">
        <w:rPr>
          <w:rFonts w:ascii="Arial" w:eastAsia="Arial" w:hAnsi="Arial" w:cs="Arial"/>
          <w:color w:val="000000" w:themeColor="text1"/>
          <w:sz w:val="23"/>
          <w:szCs w:val="23"/>
        </w:rPr>
        <w:t xml:space="preserve"> </w:t>
      </w:r>
      <w:r w:rsidR="2463FF70" w:rsidRPr="6CB76B80">
        <w:rPr>
          <w:rFonts w:ascii="Arial" w:eastAsia="Arial" w:hAnsi="Arial" w:cs="Arial"/>
          <w:color w:val="000000" w:themeColor="text1"/>
          <w:sz w:val="23"/>
          <w:szCs w:val="23"/>
        </w:rPr>
        <w:t>Dicha versión</w:t>
      </w:r>
      <w:r w:rsidRPr="6CB76B80">
        <w:rPr>
          <w:rFonts w:ascii="Arial" w:eastAsia="Arial" w:hAnsi="Arial" w:cs="Arial"/>
          <w:color w:val="000000" w:themeColor="text1"/>
          <w:sz w:val="23"/>
          <w:szCs w:val="23"/>
        </w:rPr>
        <w:t xml:space="preserve"> </w:t>
      </w:r>
      <w:r w:rsidR="3DC28BC4" w:rsidRPr="6CB76B80">
        <w:rPr>
          <w:rFonts w:ascii="Arial" w:eastAsia="Arial" w:hAnsi="Arial" w:cs="Arial"/>
          <w:color w:val="000000" w:themeColor="text1"/>
          <w:sz w:val="23"/>
          <w:szCs w:val="23"/>
        </w:rPr>
        <w:t>esta</w:t>
      </w:r>
      <w:r w:rsidR="4DD9B780" w:rsidRPr="6CB76B80">
        <w:rPr>
          <w:rFonts w:ascii="Arial" w:eastAsia="Arial" w:hAnsi="Arial" w:cs="Arial"/>
          <w:color w:val="000000" w:themeColor="text1"/>
          <w:sz w:val="23"/>
          <w:szCs w:val="23"/>
        </w:rPr>
        <w:t>ble</w:t>
      </w:r>
      <w:r w:rsidR="20924302" w:rsidRPr="6CB76B80">
        <w:rPr>
          <w:rFonts w:ascii="Arial" w:eastAsia="Arial" w:hAnsi="Arial" w:cs="Arial"/>
          <w:color w:val="000000" w:themeColor="text1"/>
          <w:sz w:val="23"/>
          <w:szCs w:val="23"/>
        </w:rPr>
        <w:t>ce</w:t>
      </w:r>
      <w:r w:rsidR="00C06874" w:rsidRPr="6CB76B80">
        <w:rPr>
          <w:rFonts w:ascii="Arial" w:eastAsia="Arial" w:hAnsi="Arial" w:cs="Arial"/>
          <w:color w:val="000000" w:themeColor="text1"/>
          <w:sz w:val="23"/>
          <w:szCs w:val="23"/>
        </w:rPr>
        <w:t xml:space="preserve"> la imposibilidad de publica</w:t>
      </w:r>
      <w:r w:rsidR="00D31507" w:rsidRPr="6CB76B80">
        <w:rPr>
          <w:rFonts w:ascii="Arial" w:eastAsia="Arial" w:hAnsi="Arial" w:cs="Arial"/>
          <w:color w:val="000000" w:themeColor="text1"/>
          <w:sz w:val="23"/>
          <w:szCs w:val="23"/>
        </w:rPr>
        <w:t>r</w:t>
      </w:r>
      <w:r w:rsidR="00C06874" w:rsidRPr="6CB76B80">
        <w:rPr>
          <w:rFonts w:ascii="Arial" w:eastAsia="Arial" w:hAnsi="Arial" w:cs="Arial"/>
          <w:color w:val="000000" w:themeColor="text1"/>
          <w:sz w:val="23"/>
          <w:szCs w:val="23"/>
        </w:rPr>
        <w:t xml:space="preserve"> en la plataforma del SECOP I y II la información relacionada con </w:t>
      </w:r>
      <w:r w:rsidR="00571ACA" w:rsidRPr="6CB76B80">
        <w:rPr>
          <w:rFonts w:ascii="Arial" w:eastAsia="Arial" w:hAnsi="Arial" w:cs="Arial"/>
          <w:color w:val="000000" w:themeColor="text1"/>
          <w:sz w:val="23"/>
          <w:szCs w:val="23"/>
        </w:rPr>
        <w:t xml:space="preserve">los factores de desempate </w:t>
      </w:r>
      <w:r w:rsidR="69E2F39C" w:rsidRPr="6CB76B80">
        <w:rPr>
          <w:rFonts w:ascii="Arial" w:eastAsia="Arial" w:hAnsi="Arial" w:cs="Arial"/>
          <w:color w:val="000000" w:themeColor="text1"/>
          <w:sz w:val="23"/>
          <w:szCs w:val="23"/>
        </w:rPr>
        <w:t>relacionado</w:t>
      </w:r>
      <w:r w:rsidR="74C482C6" w:rsidRPr="6CB76B80">
        <w:rPr>
          <w:rFonts w:ascii="Arial" w:eastAsia="Arial" w:hAnsi="Arial" w:cs="Arial"/>
          <w:color w:val="000000" w:themeColor="text1"/>
          <w:sz w:val="23"/>
          <w:szCs w:val="23"/>
        </w:rPr>
        <w:t>s</w:t>
      </w:r>
      <w:r w:rsidR="00571ACA" w:rsidRPr="6CB76B80">
        <w:rPr>
          <w:rFonts w:ascii="Arial" w:eastAsia="Arial" w:hAnsi="Arial" w:cs="Arial"/>
          <w:color w:val="000000" w:themeColor="text1"/>
          <w:sz w:val="23"/>
          <w:szCs w:val="23"/>
        </w:rPr>
        <w:t xml:space="preserve"> con las personas en proceso de reincorporación o reintegración, </w:t>
      </w:r>
      <w:r w:rsidR="003467D9" w:rsidRPr="6CB76B80">
        <w:rPr>
          <w:rFonts w:ascii="Arial" w:eastAsia="Arial" w:hAnsi="Arial" w:cs="Arial"/>
          <w:color w:val="000000" w:themeColor="text1"/>
          <w:sz w:val="23"/>
          <w:szCs w:val="23"/>
        </w:rPr>
        <w:t xml:space="preserve">mujeres víctimas de violencia intrafamiliar y la población indígena, negra, afrocolombiana, raizal, palenquera, </w:t>
      </w:r>
      <w:proofErr w:type="spellStart"/>
      <w:r w:rsidR="003467D9" w:rsidRPr="6CB76B80">
        <w:rPr>
          <w:rFonts w:ascii="Arial" w:eastAsia="Arial" w:hAnsi="Arial" w:cs="Arial"/>
          <w:color w:val="000000" w:themeColor="text1"/>
          <w:sz w:val="23"/>
          <w:szCs w:val="23"/>
        </w:rPr>
        <w:t>Rrom</w:t>
      </w:r>
      <w:proofErr w:type="spellEnd"/>
      <w:r w:rsidR="003467D9" w:rsidRPr="6CB76B80">
        <w:rPr>
          <w:rFonts w:ascii="Arial" w:eastAsia="Arial" w:hAnsi="Arial" w:cs="Arial"/>
          <w:color w:val="000000" w:themeColor="text1"/>
          <w:sz w:val="23"/>
          <w:szCs w:val="23"/>
        </w:rPr>
        <w:t xml:space="preserve"> o gitanas</w:t>
      </w:r>
      <w:r w:rsidR="00D31507" w:rsidRPr="6CB76B80">
        <w:rPr>
          <w:rFonts w:ascii="Arial" w:eastAsia="Arial" w:hAnsi="Arial" w:cs="Arial"/>
          <w:color w:val="000000" w:themeColor="text1"/>
          <w:sz w:val="23"/>
          <w:szCs w:val="23"/>
        </w:rPr>
        <w:t xml:space="preserve">, puesto que </w:t>
      </w:r>
      <w:r w:rsidR="5316E1A3" w:rsidRPr="6CB76B80">
        <w:rPr>
          <w:rFonts w:ascii="Arial" w:eastAsia="Arial" w:hAnsi="Arial" w:cs="Arial"/>
          <w:color w:val="000000" w:themeColor="text1"/>
          <w:sz w:val="23"/>
          <w:szCs w:val="23"/>
        </w:rPr>
        <w:t>revelar al</w:t>
      </w:r>
      <w:r w:rsidR="00D31507" w:rsidRPr="6CB76B80">
        <w:rPr>
          <w:rFonts w:ascii="Arial" w:eastAsia="Arial" w:hAnsi="Arial" w:cs="Arial"/>
          <w:color w:val="000000" w:themeColor="text1"/>
          <w:sz w:val="23"/>
          <w:szCs w:val="23"/>
        </w:rPr>
        <w:t xml:space="preserve"> público </w:t>
      </w:r>
      <w:r w:rsidR="71DECE22" w:rsidRPr="6CB76B80">
        <w:rPr>
          <w:rFonts w:ascii="Arial" w:eastAsia="Arial" w:hAnsi="Arial" w:cs="Arial"/>
          <w:color w:val="000000" w:themeColor="text1"/>
          <w:sz w:val="23"/>
          <w:szCs w:val="23"/>
        </w:rPr>
        <w:t>tales condiciones o situaciones podría afectar</w:t>
      </w:r>
      <w:r w:rsidR="00D31507" w:rsidRPr="6CB76B80">
        <w:rPr>
          <w:rFonts w:ascii="Arial" w:eastAsia="Arial" w:hAnsi="Arial" w:cs="Arial"/>
          <w:color w:val="000000" w:themeColor="text1"/>
          <w:sz w:val="23"/>
          <w:szCs w:val="23"/>
        </w:rPr>
        <w:t xml:space="preserve"> el derecho de la intimidad de los oferentes o de sus trabajadores o socios o accionistas.</w:t>
      </w:r>
    </w:p>
    <w:p w14:paraId="11FDA8EF" w14:textId="77777777" w:rsidR="006F7189" w:rsidRDefault="006F7189">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6A33D61B" w14:textId="43D0127F" w:rsidR="00AA407F" w:rsidRDefault="00AA407F">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r>
        <w:rPr>
          <w:rFonts w:ascii="Arial" w:eastAsia="Arial" w:hAnsi="Arial" w:cs="Arial"/>
          <w:color w:val="000000"/>
          <w:sz w:val="23"/>
          <w:szCs w:val="23"/>
        </w:rPr>
        <w:t>Además, el artículo 6 modifica el «numeral 9.2 Formatos del documento base»</w:t>
      </w:r>
      <w:r w:rsidR="00987006">
        <w:rPr>
          <w:rFonts w:ascii="Arial" w:eastAsia="Arial" w:hAnsi="Arial" w:cs="Arial"/>
          <w:color w:val="000000"/>
          <w:sz w:val="23"/>
          <w:szCs w:val="23"/>
        </w:rPr>
        <w:t xml:space="preserve"> de los documentos tipo mencionados en el artículo 1 de esta resolución, </w:t>
      </w:r>
      <w:r>
        <w:rPr>
          <w:rFonts w:ascii="Arial" w:eastAsia="Arial" w:hAnsi="Arial" w:cs="Arial"/>
          <w:color w:val="000000"/>
          <w:sz w:val="23"/>
          <w:szCs w:val="23"/>
        </w:rPr>
        <w:t xml:space="preserve">por medio del cual se incluyen los dos formatos </w:t>
      </w:r>
      <w:r w:rsidR="00F2701C">
        <w:rPr>
          <w:rFonts w:ascii="Arial" w:eastAsia="Arial" w:hAnsi="Arial" w:cs="Arial"/>
          <w:color w:val="000000"/>
          <w:sz w:val="23"/>
          <w:szCs w:val="23"/>
        </w:rPr>
        <w:t xml:space="preserve">previstos en </w:t>
      </w:r>
      <w:r w:rsidR="00205750">
        <w:rPr>
          <w:rFonts w:ascii="Arial" w:eastAsia="Arial" w:hAnsi="Arial" w:cs="Arial"/>
          <w:color w:val="000000"/>
          <w:sz w:val="23"/>
          <w:szCs w:val="23"/>
        </w:rPr>
        <w:t>los artículos 2 y 3 de esta resolución</w:t>
      </w:r>
      <w:r w:rsidR="008E77DC">
        <w:rPr>
          <w:rFonts w:ascii="Arial" w:eastAsia="Arial" w:hAnsi="Arial" w:cs="Arial"/>
          <w:color w:val="000000"/>
          <w:sz w:val="23"/>
          <w:szCs w:val="23"/>
        </w:rPr>
        <w:t xml:space="preserve">, es decir: i) el «Formato 10 – </w:t>
      </w:r>
      <w:r w:rsidR="00302128">
        <w:rPr>
          <w:rFonts w:ascii="Arial" w:eastAsia="Arial" w:hAnsi="Arial" w:cs="Arial"/>
          <w:color w:val="000000"/>
          <w:sz w:val="23"/>
          <w:szCs w:val="23"/>
        </w:rPr>
        <w:t>Factores</w:t>
      </w:r>
      <w:r w:rsidR="008E77DC">
        <w:rPr>
          <w:rFonts w:ascii="Arial" w:eastAsia="Arial" w:hAnsi="Arial" w:cs="Arial"/>
          <w:color w:val="000000"/>
          <w:sz w:val="23"/>
          <w:szCs w:val="23"/>
        </w:rPr>
        <w:t xml:space="preserve"> de desempate y ii) Formato 11 – Autorización para el tratamiento de datos personales</w:t>
      </w:r>
      <w:r w:rsidR="00205750">
        <w:rPr>
          <w:rFonts w:ascii="Arial" w:eastAsia="Arial" w:hAnsi="Arial" w:cs="Arial"/>
          <w:color w:val="000000"/>
          <w:sz w:val="23"/>
          <w:szCs w:val="23"/>
        </w:rPr>
        <w:t xml:space="preserve">. </w:t>
      </w:r>
    </w:p>
    <w:p w14:paraId="18F9220F" w14:textId="289C50AC" w:rsidR="008E6634" w:rsidRDefault="008E6634">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68F85E0B" w14:textId="25F4678B" w:rsidR="00285601" w:rsidRDefault="00285601"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Por su parte, el artículo 7, modifica </w:t>
      </w:r>
      <w:r w:rsidR="001917EF" w:rsidRPr="6CB76B80">
        <w:rPr>
          <w:rFonts w:ascii="Arial" w:eastAsia="Arial" w:hAnsi="Arial" w:cs="Arial"/>
          <w:color w:val="000000" w:themeColor="text1"/>
          <w:sz w:val="23"/>
          <w:szCs w:val="23"/>
        </w:rPr>
        <w:t xml:space="preserve">el numeral 4.4 del documento base de los documentos </w:t>
      </w:r>
      <w:r w:rsidR="00A6359C" w:rsidRPr="6CB76B80">
        <w:rPr>
          <w:rFonts w:ascii="Arial" w:eastAsia="Arial" w:hAnsi="Arial" w:cs="Arial"/>
          <w:color w:val="000000" w:themeColor="text1"/>
          <w:sz w:val="23"/>
          <w:szCs w:val="23"/>
        </w:rPr>
        <w:t>tipo de obra pública de infraestructura de transporte adelantados bajo la modalidad de selección abreviada de menor cuantía –Versión 2–, adoptados mediante la Resolución 241 del 27 de noviembre de 2020</w:t>
      </w:r>
      <w:r w:rsidR="00D57D58" w:rsidRPr="6CB76B80">
        <w:rPr>
          <w:rFonts w:ascii="Arial" w:eastAsia="Arial" w:hAnsi="Arial" w:cs="Arial"/>
          <w:color w:val="000000" w:themeColor="text1"/>
          <w:sz w:val="23"/>
          <w:szCs w:val="23"/>
        </w:rPr>
        <w:t>, definiendo de manera precisa y concreta la forma de acreditar cada uno los criterios de desempate</w:t>
      </w:r>
      <w:r w:rsidR="00187EAE" w:rsidRPr="6CB76B80">
        <w:rPr>
          <w:rFonts w:ascii="Arial" w:eastAsia="Arial" w:hAnsi="Arial" w:cs="Arial"/>
          <w:color w:val="000000" w:themeColor="text1"/>
          <w:sz w:val="23"/>
          <w:szCs w:val="23"/>
        </w:rPr>
        <w:t xml:space="preserve"> del artículo 35 de la Ley 2069 de 2020</w:t>
      </w:r>
      <w:r w:rsidR="004E3090" w:rsidRPr="6CB76B80">
        <w:rPr>
          <w:rFonts w:ascii="Arial" w:eastAsia="Arial" w:hAnsi="Arial" w:cs="Arial"/>
          <w:color w:val="000000" w:themeColor="text1"/>
          <w:sz w:val="23"/>
          <w:szCs w:val="23"/>
        </w:rPr>
        <w:t xml:space="preserve">. </w:t>
      </w:r>
      <w:r w:rsidR="00AF57C6" w:rsidRPr="6CB76B80">
        <w:rPr>
          <w:rFonts w:ascii="Arial" w:eastAsia="Arial" w:hAnsi="Arial" w:cs="Arial"/>
          <w:color w:val="000000" w:themeColor="text1"/>
          <w:sz w:val="23"/>
          <w:szCs w:val="23"/>
        </w:rPr>
        <w:t xml:space="preserve">A su vez, el artículo 8, modifica el </w:t>
      </w:r>
      <w:r w:rsidR="00640435" w:rsidRPr="6CB76B80">
        <w:rPr>
          <w:rFonts w:ascii="Arial" w:eastAsia="Arial" w:hAnsi="Arial" w:cs="Arial"/>
          <w:color w:val="000000" w:themeColor="text1"/>
          <w:sz w:val="23"/>
          <w:szCs w:val="23"/>
        </w:rPr>
        <w:t>«</w:t>
      </w:r>
      <w:r w:rsidR="00AF57C6" w:rsidRPr="6CB76B80">
        <w:rPr>
          <w:rFonts w:ascii="Arial" w:eastAsia="Arial" w:hAnsi="Arial" w:cs="Arial"/>
          <w:color w:val="000000" w:themeColor="text1"/>
          <w:sz w:val="23"/>
          <w:szCs w:val="23"/>
        </w:rPr>
        <w:t xml:space="preserve">Formato 8 – Vinculación de personas de </w:t>
      </w:r>
      <w:r w:rsidR="006D0F25" w:rsidRPr="6CB76B80">
        <w:rPr>
          <w:rFonts w:ascii="Arial" w:eastAsia="Arial" w:hAnsi="Arial" w:cs="Arial"/>
          <w:color w:val="000000" w:themeColor="text1"/>
          <w:sz w:val="23"/>
          <w:szCs w:val="23"/>
        </w:rPr>
        <w:t>discapacidad</w:t>
      </w:r>
      <w:r w:rsidR="00640435" w:rsidRPr="6CB76B80">
        <w:rPr>
          <w:rFonts w:ascii="Arial" w:eastAsia="Arial" w:hAnsi="Arial" w:cs="Arial"/>
          <w:color w:val="000000" w:themeColor="text1"/>
          <w:sz w:val="23"/>
          <w:szCs w:val="23"/>
        </w:rPr>
        <w:t>»</w:t>
      </w:r>
      <w:r w:rsidR="006D0F25" w:rsidRPr="6CB76B80">
        <w:rPr>
          <w:rFonts w:ascii="Arial" w:eastAsia="Arial" w:hAnsi="Arial" w:cs="Arial"/>
          <w:color w:val="000000" w:themeColor="text1"/>
          <w:sz w:val="23"/>
          <w:szCs w:val="23"/>
        </w:rPr>
        <w:t xml:space="preserve">, </w:t>
      </w:r>
      <w:r w:rsidR="00C7026F" w:rsidRPr="6CB76B80">
        <w:rPr>
          <w:rFonts w:ascii="Arial" w:eastAsia="Arial" w:hAnsi="Arial" w:cs="Arial"/>
          <w:color w:val="000000" w:themeColor="text1"/>
          <w:sz w:val="23"/>
          <w:szCs w:val="23"/>
        </w:rPr>
        <w:t xml:space="preserve">y se </w:t>
      </w:r>
      <w:r w:rsidR="0B5757A5" w:rsidRPr="6CB76B80">
        <w:rPr>
          <w:rFonts w:ascii="Arial" w:eastAsia="Arial" w:hAnsi="Arial" w:cs="Arial"/>
          <w:color w:val="000000" w:themeColor="text1"/>
          <w:sz w:val="23"/>
          <w:szCs w:val="23"/>
        </w:rPr>
        <w:t>cambia</w:t>
      </w:r>
      <w:r w:rsidR="00C7026F" w:rsidRPr="6CB76B80">
        <w:rPr>
          <w:rFonts w:ascii="Arial" w:eastAsia="Arial" w:hAnsi="Arial" w:cs="Arial"/>
          <w:color w:val="000000" w:themeColor="text1"/>
          <w:sz w:val="23"/>
          <w:szCs w:val="23"/>
        </w:rPr>
        <w:t xml:space="preserve"> el nombre </w:t>
      </w:r>
      <w:r w:rsidR="00640435" w:rsidRPr="6CB76B80">
        <w:rPr>
          <w:rFonts w:ascii="Arial" w:eastAsia="Arial" w:hAnsi="Arial" w:cs="Arial"/>
          <w:color w:val="000000" w:themeColor="text1"/>
          <w:sz w:val="23"/>
          <w:szCs w:val="23"/>
        </w:rPr>
        <w:t>«</w:t>
      </w:r>
      <w:r w:rsidR="00C7026F" w:rsidRPr="6CB76B80">
        <w:rPr>
          <w:rFonts w:ascii="Arial" w:eastAsia="Arial" w:hAnsi="Arial" w:cs="Arial"/>
          <w:color w:val="000000" w:themeColor="text1"/>
          <w:sz w:val="23"/>
          <w:szCs w:val="23"/>
        </w:rPr>
        <w:t>Formato 8 – Factores de desempate</w:t>
      </w:r>
      <w:r w:rsidR="00640435" w:rsidRPr="6CB76B80">
        <w:rPr>
          <w:rFonts w:ascii="Arial" w:eastAsia="Arial" w:hAnsi="Arial" w:cs="Arial"/>
          <w:color w:val="000000" w:themeColor="text1"/>
          <w:sz w:val="23"/>
          <w:szCs w:val="23"/>
        </w:rPr>
        <w:t>»</w:t>
      </w:r>
      <w:r w:rsidR="00C7026F" w:rsidRPr="6CB76B80">
        <w:rPr>
          <w:rFonts w:ascii="Arial" w:eastAsia="Arial" w:hAnsi="Arial" w:cs="Arial"/>
          <w:color w:val="000000" w:themeColor="text1"/>
          <w:sz w:val="23"/>
          <w:szCs w:val="23"/>
        </w:rPr>
        <w:t xml:space="preserve"> para incluir todos los formatos que diligenciarán los proponentes para acreditar cada </w:t>
      </w:r>
      <w:r w:rsidR="00861FAC" w:rsidRPr="6CB76B80">
        <w:rPr>
          <w:rFonts w:ascii="Arial" w:eastAsia="Arial" w:hAnsi="Arial" w:cs="Arial"/>
          <w:color w:val="000000" w:themeColor="text1"/>
          <w:sz w:val="23"/>
          <w:szCs w:val="23"/>
        </w:rPr>
        <w:t xml:space="preserve">criterio de desempate. </w:t>
      </w:r>
    </w:p>
    <w:p w14:paraId="7B19EBA8" w14:textId="2C7277EE" w:rsidR="00861FAC" w:rsidRDefault="00861FAC">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484F9537" w14:textId="5ADE4F6C" w:rsidR="00646177" w:rsidRDefault="00500761"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Debido a que se modifican los formatos en los documentos tipo de obra pública de infraestructura de transporte adelantados bajo la modalidad de selección abreviada</w:t>
      </w:r>
      <w:r w:rsidR="00FA02B2" w:rsidRPr="6CB76B80">
        <w:rPr>
          <w:rFonts w:ascii="Arial" w:eastAsia="Arial" w:hAnsi="Arial" w:cs="Arial"/>
          <w:color w:val="000000" w:themeColor="text1"/>
          <w:sz w:val="23"/>
          <w:szCs w:val="23"/>
        </w:rPr>
        <w:t xml:space="preserve">, en el artículo 9 </w:t>
      </w:r>
      <w:r w:rsidR="7039C6C7" w:rsidRPr="6CB76B80">
        <w:rPr>
          <w:rFonts w:ascii="Arial" w:eastAsia="Arial" w:hAnsi="Arial" w:cs="Arial"/>
          <w:color w:val="000000" w:themeColor="text1"/>
          <w:sz w:val="23"/>
          <w:szCs w:val="23"/>
        </w:rPr>
        <w:t xml:space="preserve">se </w:t>
      </w:r>
      <w:r w:rsidR="00FA02B2" w:rsidRPr="6CB76B80">
        <w:rPr>
          <w:rFonts w:ascii="Arial" w:eastAsia="Arial" w:hAnsi="Arial" w:cs="Arial"/>
          <w:color w:val="000000" w:themeColor="text1"/>
          <w:sz w:val="23"/>
          <w:szCs w:val="23"/>
        </w:rPr>
        <w:t xml:space="preserve">modifica el numeral «9.2 Formatos» </w:t>
      </w:r>
      <w:r w:rsidR="00646177" w:rsidRPr="6CB76B80">
        <w:rPr>
          <w:rFonts w:ascii="Arial" w:eastAsia="Arial" w:hAnsi="Arial" w:cs="Arial"/>
          <w:color w:val="000000" w:themeColor="text1"/>
          <w:sz w:val="23"/>
          <w:szCs w:val="23"/>
        </w:rPr>
        <w:t xml:space="preserve">de la siguiente manera: i) se ajusta el nombre </w:t>
      </w:r>
      <w:r w:rsidR="00C40F77" w:rsidRPr="6CB76B80">
        <w:rPr>
          <w:rFonts w:ascii="Arial" w:eastAsia="Arial" w:hAnsi="Arial" w:cs="Arial"/>
          <w:color w:val="000000" w:themeColor="text1"/>
          <w:sz w:val="23"/>
          <w:szCs w:val="23"/>
        </w:rPr>
        <w:t xml:space="preserve">del </w:t>
      </w:r>
      <w:r w:rsidR="00646177" w:rsidRPr="6CB76B80">
        <w:rPr>
          <w:rFonts w:ascii="Arial" w:eastAsia="Arial" w:hAnsi="Arial" w:cs="Arial"/>
          <w:color w:val="000000" w:themeColor="text1"/>
          <w:sz w:val="23"/>
          <w:szCs w:val="23"/>
        </w:rPr>
        <w:t xml:space="preserve">«Formato 8 – Factores de desempate» y ii) se incluye el «Formato 11 – Autorización para el tratamiento de datos personales». </w:t>
      </w:r>
    </w:p>
    <w:p w14:paraId="3E6FAE84" w14:textId="2022CFFA" w:rsidR="00861FAC" w:rsidRDefault="00861FAC">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72915D39" w14:textId="213D2E3E" w:rsidR="00695ED0" w:rsidRDefault="00695ED0"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Por otro lado, el artículo 10 modifica el numeral «5.1.4 Cri</w:t>
      </w:r>
      <w:r w:rsidR="00002C51" w:rsidRPr="6CB76B80">
        <w:rPr>
          <w:rFonts w:ascii="Arial" w:eastAsia="Arial" w:hAnsi="Arial" w:cs="Arial"/>
          <w:color w:val="000000" w:themeColor="text1"/>
          <w:sz w:val="23"/>
          <w:szCs w:val="23"/>
        </w:rPr>
        <w:t>terios de desempate»</w:t>
      </w:r>
      <w:r w:rsidR="00926D15" w:rsidRPr="6CB76B80">
        <w:rPr>
          <w:rFonts w:ascii="Arial" w:eastAsia="Arial" w:hAnsi="Arial" w:cs="Arial"/>
          <w:color w:val="000000" w:themeColor="text1"/>
          <w:sz w:val="23"/>
          <w:szCs w:val="23"/>
        </w:rPr>
        <w:t xml:space="preserve"> a los documentos tipo de obra pública de infraestructura de transporte adelantados bajo la modalidad de mínima cuantía</w:t>
      </w:r>
      <w:r w:rsidR="00D2282C" w:rsidRPr="6CB76B80">
        <w:rPr>
          <w:rFonts w:ascii="Arial" w:eastAsia="Arial" w:hAnsi="Arial" w:cs="Arial"/>
          <w:color w:val="000000" w:themeColor="text1"/>
          <w:sz w:val="23"/>
          <w:szCs w:val="23"/>
        </w:rPr>
        <w:t xml:space="preserve"> para definir la forma en cómo se </w:t>
      </w:r>
      <w:r w:rsidR="69CAB607" w:rsidRPr="6CB76B80">
        <w:rPr>
          <w:rFonts w:ascii="Arial" w:eastAsia="Arial" w:hAnsi="Arial" w:cs="Arial"/>
          <w:color w:val="000000" w:themeColor="text1"/>
          <w:sz w:val="23"/>
          <w:szCs w:val="23"/>
        </w:rPr>
        <w:t>acredita</w:t>
      </w:r>
      <w:r w:rsidR="44852D1B" w:rsidRPr="6CB76B80">
        <w:rPr>
          <w:rFonts w:ascii="Arial" w:eastAsia="Arial" w:hAnsi="Arial" w:cs="Arial"/>
          <w:color w:val="000000" w:themeColor="text1"/>
          <w:sz w:val="23"/>
          <w:szCs w:val="23"/>
        </w:rPr>
        <w:t>rán</w:t>
      </w:r>
      <w:r w:rsidR="00CC5D96" w:rsidRPr="6CB76B80">
        <w:rPr>
          <w:rFonts w:ascii="Arial" w:eastAsia="Arial" w:hAnsi="Arial" w:cs="Arial"/>
          <w:color w:val="000000" w:themeColor="text1"/>
          <w:sz w:val="23"/>
          <w:szCs w:val="23"/>
        </w:rPr>
        <w:t xml:space="preserve"> estos criterios</w:t>
      </w:r>
      <w:r w:rsidR="00D2282C" w:rsidRPr="6CB76B80">
        <w:rPr>
          <w:rFonts w:ascii="Arial" w:eastAsia="Arial" w:hAnsi="Arial" w:cs="Arial"/>
          <w:color w:val="000000" w:themeColor="text1"/>
          <w:sz w:val="23"/>
          <w:szCs w:val="23"/>
        </w:rPr>
        <w:t xml:space="preserve"> de acuerdo con los lineamientos de la Ley 2069 de 2020</w:t>
      </w:r>
      <w:r w:rsidR="00926D15" w:rsidRPr="6CB76B80">
        <w:rPr>
          <w:rFonts w:ascii="Arial" w:eastAsia="Arial" w:hAnsi="Arial" w:cs="Arial"/>
          <w:color w:val="000000" w:themeColor="text1"/>
          <w:sz w:val="23"/>
          <w:szCs w:val="23"/>
        </w:rPr>
        <w:t>.</w:t>
      </w:r>
      <w:r w:rsidR="00D2282C" w:rsidRPr="6CB76B80">
        <w:rPr>
          <w:rFonts w:ascii="Arial" w:eastAsia="Arial" w:hAnsi="Arial" w:cs="Arial"/>
          <w:color w:val="000000" w:themeColor="text1"/>
          <w:sz w:val="23"/>
          <w:szCs w:val="23"/>
        </w:rPr>
        <w:t xml:space="preserve"> A su </w:t>
      </w:r>
      <w:r w:rsidR="18901676" w:rsidRPr="6CB76B80">
        <w:rPr>
          <w:rFonts w:ascii="Arial" w:eastAsia="Arial" w:hAnsi="Arial" w:cs="Arial"/>
          <w:color w:val="000000" w:themeColor="text1"/>
          <w:sz w:val="23"/>
          <w:szCs w:val="23"/>
        </w:rPr>
        <w:t>turno</w:t>
      </w:r>
      <w:r w:rsidR="00D2282C" w:rsidRPr="6CB76B80">
        <w:rPr>
          <w:rFonts w:ascii="Arial" w:eastAsia="Arial" w:hAnsi="Arial" w:cs="Arial"/>
          <w:color w:val="000000" w:themeColor="text1"/>
          <w:sz w:val="23"/>
          <w:szCs w:val="23"/>
        </w:rPr>
        <w:t>,</w:t>
      </w:r>
      <w:r w:rsidR="00642545" w:rsidRPr="6CB76B80">
        <w:rPr>
          <w:rFonts w:ascii="Arial" w:eastAsia="Arial" w:hAnsi="Arial" w:cs="Arial"/>
          <w:color w:val="000000" w:themeColor="text1"/>
          <w:sz w:val="23"/>
          <w:szCs w:val="23"/>
        </w:rPr>
        <w:t xml:space="preserve"> e</w:t>
      </w:r>
      <w:r w:rsidR="00D2282C" w:rsidRPr="6CB76B80">
        <w:rPr>
          <w:rFonts w:ascii="Arial" w:eastAsia="Arial" w:hAnsi="Arial" w:cs="Arial"/>
          <w:color w:val="000000" w:themeColor="text1"/>
          <w:sz w:val="23"/>
          <w:szCs w:val="23"/>
        </w:rPr>
        <w:t>l artículo 11 incluye el «Formato 7 – Factores de desempate»</w:t>
      </w:r>
      <w:r w:rsidR="00137833" w:rsidRPr="6CB76B80">
        <w:rPr>
          <w:rFonts w:ascii="Arial" w:eastAsia="Arial" w:hAnsi="Arial" w:cs="Arial"/>
          <w:color w:val="000000" w:themeColor="text1"/>
          <w:sz w:val="23"/>
          <w:szCs w:val="23"/>
        </w:rPr>
        <w:t xml:space="preserve"> para que </w:t>
      </w:r>
      <w:r w:rsidR="50CE6543" w:rsidRPr="6CB76B80">
        <w:rPr>
          <w:rFonts w:ascii="Arial" w:eastAsia="Arial" w:hAnsi="Arial" w:cs="Arial"/>
          <w:color w:val="000000" w:themeColor="text1"/>
          <w:sz w:val="23"/>
          <w:szCs w:val="23"/>
        </w:rPr>
        <w:t xml:space="preserve">sean diligenciados por </w:t>
      </w:r>
      <w:r w:rsidR="00137833" w:rsidRPr="6CB76B80">
        <w:rPr>
          <w:rFonts w:ascii="Arial" w:eastAsia="Arial" w:hAnsi="Arial" w:cs="Arial"/>
          <w:color w:val="000000" w:themeColor="text1"/>
          <w:sz w:val="23"/>
          <w:szCs w:val="23"/>
        </w:rPr>
        <w:t xml:space="preserve">los proponentes </w:t>
      </w:r>
      <w:r w:rsidR="6C889E8F" w:rsidRPr="6CB76B80">
        <w:rPr>
          <w:rFonts w:ascii="Arial" w:eastAsia="Arial" w:hAnsi="Arial" w:cs="Arial"/>
          <w:color w:val="000000" w:themeColor="text1"/>
          <w:sz w:val="23"/>
          <w:szCs w:val="23"/>
        </w:rPr>
        <w:t>con el objetivo de</w:t>
      </w:r>
      <w:r w:rsidR="00137833" w:rsidRPr="6CB76B80">
        <w:rPr>
          <w:rFonts w:ascii="Arial" w:eastAsia="Arial" w:hAnsi="Arial" w:cs="Arial"/>
          <w:color w:val="000000" w:themeColor="text1"/>
          <w:sz w:val="23"/>
          <w:szCs w:val="23"/>
        </w:rPr>
        <w:t xml:space="preserve"> </w:t>
      </w:r>
      <w:r w:rsidR="00251C39" w:rsidRPr="6CB76B80">
        <w:rPr>
          <w:rFonts w:ascii="Arial" w:eastAsia="Arial" w:hAnsi="Arial" w:cs="Arial"/>
          <w:color w:val="000000" w:themeColor="text1"/>
          <w:sz w:val="23"/>
          <w:szCs w:val="23"/>
        </w:rPr>
        <w:t xml:space="preserve">certificar el cumplimiento del factor desempate correspondiente. </w:t>
      </w:r>
      <w:r w:rsidR="00642545" w:rsidRPr="6CB76B80">
        <w:rPr>
          <w:rFonts w:ascii="Arial" w:eastAsia="Arial" w:hAnsi="Arial" w:cs="Arial"/>
          <w:color w:val="000000" w:themeColor="text1"/>
          <w:sz w:val="23"/>
          <w:szCs w:val="23"/>
        </w:rPr>
        <w:t xml:space="preserve">Además, en el artículo 12 se incluye el «Formato 8 </w:t>
      </w:r>
      <w:r w:rsidR="00A17073" w:rsidRPr="6CB76B80">
        <w:rPr>
          <w:rFonts w:ascii="Arial" w:eastAsia="Arial" w:hAnsi="Arial" w:cs="Arial"/>
          <w:color w:val="000000" w:themeColor="text1"/>
          <w:sz w:val="23"/>
          <w:szCs w:val="23"/>
        </w:rPr>
        <w:t>–</w:t>
      </w:r>
      <w:r w:rsidR="00642545" w:rsidRPr="6CB76B80">
        <w:rPr>
          <w:rFonts w:ascii="Arial" w:eastAsia="Arial" w:hAnsi="Arial" w:cs="Arial"/>
          <w:color w:val="000000" w:themeColor="text1"/>
          <w:sz w:val="23"/>
          <w:szCs w:val="23"/>
        </w:rPr>
        <w:t xml:space="preserve"> Autori</w:t>
      </w:r>
      <w:r w:rsidR="00A17073" w:rsidRPr="6CB76B80">
        <w:rPr>
          <w:rFonts w:ascii="Arial" w:eastAsia="Arial" w:hAnsi="Arial" w:cs="Arial"/>
          <w:color w:val="000000" w:themeColor="text1"/>
          <w:sz w:val="23"/>
          <w:szCs w:val="23"/>
        </w:rPr>
        <w:t>zación para el tratamiento de datos personales» para</w:t>
      </w:r>
      <w:r w:rsidR="003A13C9" w:rsidRPr="6CB76B80">
        <w:rPr>
          <w:rFonts w:ascii="Arial" w:eastAsia="Arial" w:hAnsi="Arial" w:cs="Arial"/>
          <w:color w:val="000000" w:themeColor="text1"/>
          <w:sz w:val="23"/>
          <w:szCs w:val="23"/>
        </w:rPr>
        <w:t xml:space="preserve"> cumplir lo dispuesto en la Ley 1581 de 2012 </w:t>
      </w:r>
      <w:r w:rsidR="00661809" w:rsidRPr="6CB76B80">
        <w:rPr>
          <w:rFonts w:ascii="Arial" w:eastAsia="Arial" w:hAnsi="Arial" w:cs="Arial"/>
          <w:color w:val="000000" w:themeColor="text1"/>
          <w:sz w:val="23"/>
          <w:szCs w:val="23"/>
        </w:rPr>
        <w:t xml:space="preserve">y el Decreto 1377 de 2013 para garantizar un </w:t>
      </w:r>
      <w:r w:rsidR="00644D87" w:rsidRPr="6CB76B80">
        <w:rPr>
          <w:rFonts w:ascii="Arial" w:eastAsia="Arial" w:hAnsi="Arial" w:cs="Arial"/>
          <w:color w:val="000000" w:themeColor="text1"/>
          <w:sz w:val="23"/>
          <w:szCs w:val="23"/>
        </w:rPr>
        <w:t xml:space="preserve">adecuado manejo a los datos sensibles. </w:t>
      </w:r>
      <w:r w:rsidR="00E81272" w:rsidRPr="6CB76B80">
        <w:rPr>
          <w:rFonts w:ascii="Arial" w:eastAsia="Arial" w:hAnsi="Arial" w:cs="Arial"/>
          <w:color w:val="000000" w:themeColor="text1"/>
          <w:sz w:val="23"/>
          <w:szCs w:val="23"/>
        </w:rPr>
        <w:t>De igual manera, el artículo 13 incluye el numeral «1.19 Confidencialidad de la información relacionada con datos sensibles»</w:t>
      </w:r>
      <w:r w:rsidR="0045411C" w:rsidRPr="6CB76B80">
        <w:rPr>
          <w:rFonts w:ascii="Arial" w:eastAsia="Arial" w:hAnsi="Arial" w:cs="Arial"/>
          <w:color w:val="000000" w:themeColor="text1"/>
          <w:sz w:val="23"/>
          <w:szCs w:val="23"/>
        </w:rPr>
        <w:t xml:space="preserve"> previendo de forma expresa la imposibilidad </w:t>
      </w:r>
      <w:r w:rsidR="219EA95D" w:rsidRPr="6CB76B80">
        <w:rPr>
          <w:rFonts w:ascii="Arial" w:eastAsia="Arial" w:hAnsi="Arial" w:cs="Arial"/>
          <w:color w:val="000000" w:themeColor="text1"/>
          <w:sz w:val="23"/>
          <w:szCs w:val="23"/>
        </w:rPr>
        <w:t xml:space="preserve">de publicar </w:t>
      </w:r>
      <w:r w:rsidR="0045411C" w:rsidRPr="6CB76B80">
        <w:rPr>
          <w:rFonts w:ascii="Arial" w:eastAsia="Arial" w:hAnsi="Arial" w:cs="Arial"/>
          <w:color w:val="000000" w:themeColor="text1"/>
          <w:sz w:val="23"/>
          <w:szCs w:val="23"/>
        </w:rPr>
        <w:t>en la plataforma del SECOP I y II la información relacionada con los fa</w:t>
      </w:r>
      <w:r w:rsidR="009234CA" w:rsidRPr="6CB76B80">
        <w:rPr>
          <w:rFonts w:ascii="Arial" w:eastAsia="Arial" w:hAnsi="Arial" w:cs="Arial"/>
          <w:color w:val="000000" w:themeColor="text1"/>
          <w:sz w:val="23"/>
          <w:szCs w:val="23"/>
        </w:rPr>
        <w:t xml:space="preserve">ctores de desempate de mujeres víctimas de violencia intrafamiliar, personas en proceso de reincorporación y/o reintegración y la población indígena, negra, afrocolombiana, raizal, palenquera, </w:t>
      </w:r>
      <w:proofErr w:type="spellStart"/>
      <w:r w:rsidR="009234CA" w:rsidRPr="6CB76B80">
        <w:rPr>
          <w:rFonts w:ascii="Arial" w:eastAsia="Arial" w:hAnsi="Arial" w:cs="Arial"/>
          <w:color w:val="000000" w:themeColor="text1"/>
          <w:sz w:val="23"/>
          <w:szCs w:val="23"/>
        </w:rPr>
        <w:t>Rrom</w:t>
      </w:r>
      <w:proofErr w:type="spellEnd"/>
      <w:r w:rsidR="009234CA" w:rsidRPr="6CB76B80">
        <w:rPr>
          <w:rFonts w:ascii="Arial" w:eastAsia="Arial" w:hAnsi="Arial" w:cs="Arial"/>
          <w:color w:val="000000" w:themeColor="text1"/>
          <w:sz w:val="23"/>
          <w:szCs w:val="23"/>
        </w:rPr>
        <w:t xml:space="preserve"> o gitanas</w:t>
      </w:r>
    </w:p>
    <w:p w14:paraId="42421C59" w14:textId="7D4653DA" w:rsidR="00E81272" w:rsidRDefault="00E81272">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0E0BC404" w14:textId="4323C502" w:rsidR="00E81272" w:rsidRDefault="00277796"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De igual modo, se modifica el numeral «9.2 Formatos» de la Invitación de los documentos tipo de obra pública de infraestructura de transporte adelantados bajo la modalidad de mínima cuantía</w:t>
      </w:r>
      <w:r w:rsidR="00560B6E" w:rsidRPr="6CB76B80">
        <w:rPr>
          <w:rFonts w:ascii="Arial" w:eastAsia="Arial" w:hAnsi="Arial" w:cs="Arial"/>
          <w:color w:val="000000" w:themeColor="text1"/>
          <w:sz w:val="23"/>
          <w:szCs w:val="23"/>
        </w:rPr>
        <w:t xml:space="preserve">, </w:t>
      </w:r>
      <w:r w:rsidR="7EB7E81C" w:rsidRPr="6CB76B80">
        <w:rPr>
          <w:rFonts w:ascii="Arial" w:eastAsia="Arial" w:hAnsi="Arial" w:cs="Arial"/>
          <w:color w:val="000000" w:themeColor="text1"/>
          <w:sz w:val="23"/>
          <w:szCs w:val="23"/>
        </w:rPr>
        <w:t xml:space="preserve">por lo que </w:t>
      </w:r>
      <w:r w:rsidR="000D1771" w:rsidRPr="6CB76B80">
        <w:rPr>
          <w:rFonts w:ascii="Arial" w:eastAsia="Arial" w:hAnsi="Arial" w:cs="Arial"/>
          <w:color w:val="000000" w:themeColor="text1"/>
          <w:sz w:val="23"/>
          <w:szCs w:val="23"/>
        </w:rPr>
        <w:t>se incluyen los siguientes formatos</w:t>
      </w:r>
      <w:r w:rsidR="006133B3" w:rsidRPr="6CB76B80">
        <w:rPr>
          <w:rFonts w:ascii="Arial" w:eastAsia="Arial" w:hAnsi="Arial" w:cs="Arial"/>
          <w:color w:val="000000" w:themeColor="text1"/>
          <w:sz w:val="23"/>
          <w:szCs w:val="23"/>
        </w:rPr>
        <w:t xml:space="preserve">: i) </w:t>
      </w:r>
      <w:r w:rsidR="008E419F" w:rsidRPr="6CB76B80">
        <w:rPr>
          <w:rFonts w:ascii="Arial" w:eastAsia="Arial" w:hAnsi="Arial" w:cs="Arial"/>
          <w:color w:val="000000" w:themeColor="text1"/>
          <w:sz w:val="23"/>
          <w:szCs w:val="23"/>
        </w:rPr>
        <w:t>el «Formato 7 – Factores de desempate» y ii)</w:t>
      </w:r>
      <w:r w:rsidR="000D1771" w:rsidRPr="6CB76B80">
        <w:rPr>
          <w:rFonts w:ascii="Arial" w:eastAsia="Arial" w:hAnsi="Arial" w:cs="Arial"/>
          <w:color w:val="000000" w:themeColor="text1"/>
          <w:sz w:val="23"/>
          <w:szCs w:val="23"/>
        </w:rPr>
        <w:t xml:space="preserve"> el «</w:t>
      </w:r>
      <w:r w:rsidR="00C26161" w:rsidRPr="6CB76B80">
        <w:rPr>
          <w:rFonts w:ascii="Arial" w:eastAsia="Arial" w:hAnsi="Arial" w:cs="Arial"/>
          <w:color w:val="000000" w:themeColor="text1"/>
          <w:sz w:val="23"/>
          <w:szCs w:val="23"/>
        </w:rPr>
        <w:t xml:space="preserve">Formato 8 </w:t>
      </w:r>
      <w:r w:rsidR="004456A7" w:rsidRPr="6CB76B80">
        <w:rPr>
          <w:rFonts w:ascii="Arial" w:eastAsia="Arial" w:hAnsi="Arial" w:cs="Arial"/>
          <w:color w:val="000000" w:themeColor="text1"/>
          <w:sz w:val="23"/>
          <w:szCs w:val="23"/>
        </w:rPr>
        <w:t>–</w:t>
      </w:r>
      <w:r w:rsidR="00C26161" w:rsidRPr="6CB76B80">
        <w:rPr>
          <w:rFonts w:ascii="Arial" w:eastAsia="Arial" w:hAnsi="Arial" w:cs="Arial"/>
          <w:color w:val="000000" w:themeColor="text1"/>
          <w:sz w:val="23"/>
          <w:szCs w:val="23"/>
        </w:rPr>
        <w:t xml:space="preserve"> Auto</w:t>
      </w:r>
      <w:r w:rsidR="004456A7" w:rsidRPr="6CB76B80">
        <w:rPr>
          <w:rFonts w:ascii="Arial" w:eastAsia="Arial" w:hAnsi="Arial" w:cs="Arial"/>
          <w:color w:val="000000" w:themeColor="text1"/>
          <w:sz w:val="23"/>
          <w:szCs w:val="23"/>
        </w:rPr>
        <w:t xml:space="preserve">rización para el tratamiento </w:t>
      </w:r>
      <w:r w:rsidR="002A704B" w:rsidRPr="6CB76B80">
        <w:rPr>
          <w:rFonts w:ascii="Arial" w:eastAsia="Arial" w:hAnsi="Arial" w:cs="Arial"/>
          <w:color w:val="000000" w:themeColor="text1"/>
          <w:sz w:val="23"/>
          <w:szCs w:val="23"/>
        </w:rPr>
        <w:t xml:space="preserve">de datos personales». </w:t>
      </w:r>
    </w:p>
    <w:p w14:paraId="299AAD60" w14:textId="2DFA1471" w:rsidR="002A704B" w:rsidRDefault="002A704B">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6DEF0159" w14:textId="4E49B850" w:rsidR="002A704B" w:rsidRDefault="0062644A"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lastRenderedPageBreak/>
        <w:t xml:space="preserve">Por su parte, el artículo 15 </w:t>
      </w:r>
      <w:r w:rsidR="00103043" w:rsidRPr="6CB76B80">
        <w:rPr>
          <w:rFonts w:ascii="Arial" w:eastAsia="Arial" w:hAnsi="Arial" w:cs="Arial"/>
          <w:color w:val="000000" w:themeColor="text1"/>
          <w:sz w:val="23"/>
          <w:szCs w:val="23"/>
        </w:rPr>
        <w:t xml:space="preserve">modifica el numeral «4.5 </w:t>
      </w:r>
      <w:r w:rsidR="000B50F7" w:rsidRPr="6CB76B80">
        <w:rPr>
          <w:rFonts w:ascii="Arial" w:eastAsia="Arial" w:hAnsi="Arial" w:cs="Arial"/>
          <w:color w:val="000000" w:themeColor="text1"/>
          <w:sz w:val="23"/>
          <w:szCs w:val="23"/>
        </w:rPr>
        <w:t xml:space="preserve">Criterios de desempate» a los documentos tipo de interventoría de obra pública de infraestructura de transporte, </w:t>
      </w:r>
      <w:r w:rsidR="22BDEEC8" w:rsidRPr="6CB76B80">
        <w:rPr>
          <w:rFonts w:ascii="Arial" w:eastAsia="Arial" w:hAnsi="Arial" w:cs="Arial"/>
          <w:color w:val="000000" w:themeColor="text1"/>
          <w:sz w:val="23"/>
          <w:szCs w:val="23"/>
        </w:rPr>
        <w:t xml:space="preserve">definiéndose </w:t>
      </w:r>
      <w:r w:rsidR="000B50F7" w:rsidRPr="6CB76B80">
        <w:rPr>
          <w:rFonts w:ascii="Arial" w:eastAsia="Arial" w:hAnsi="Arial" w:cs="Arial"/>
          <w:color w:val="000000" w:themeColor="text1"/>
          <w:sz w:val="23"/>
          <w:szCs w:val="23"/>
        </w:rPr>
        <w:t xml:space="preserve">la manera en la cual se acreditan cada uno de los criterios de acuerdo con lo definido en la Ley 2069 de 2020. </w:t>
      </w:r>
      <w:r w:rsidR="002F21C7" w:rsidRPr="6CB76B80">
        <w:rPr>
          <w:rFonts w:ascii="Arial" w:eastAsia="Arial" w:hAnsi="Arial" w:cs="Arial"/>
          <w:color w:val="000000" w:themeColor="text1"/>
          <w:sz w:val="23"/>
          <w:szCs w:val="23"/>
        </w:rPr>
        <w:t xml:space="preserve">Ahora bien, en el artículo 16 se modifica el «Formato 6 </w:t>
      </w:r>
      <w:r w:rsidR="00AA4BDF" w:rsidRPr="6CB76B80">
        <w:rPr>
          <w:rFonts w:ascii="Arial" w:eastAsia="Arial" w:hAnsi="Arial" w:cs="Arial"/>
          <w:color w:val="000000" w:themeColor="text1"/>
          <w:sz w:val="23"/>
          <w:szCs w:val="23"/>
        </w:rPr>
        <w:t>– Vinculación de personas en condición de discapacidad</w:t>
      </w:r>
      <w:r w:rsidR="00130714" w:rsidRPr="6CB76B80">
        <w:rPr>
          <w:rFonts w:ascii="Arial" w:eastAsia="Arial" w:hAnsi="Arial" w:cs="Arial"/>
          <w:color w:val="000000" w:themeColor="text1"/>
          <w:sz w:val="23"/>
          <w:szCs w:val="23"/>
        </w:rPr>
        <w:t>»</w:t>
      </w:r>
      <w:r w:rsidR="00F1685C" w:rsidRPr="6CB76B80">
        <w:rPr>
          <w:rFonts w:ascii="Arial" w:eastAsia="Arial" w:hAnsi="Arial" w:cs="Arial"/>
          <w:color w:val="000000" w:themeColor="text1"/>
          <w:sz w:val="23"/>
          <w:szCs w:val="23"/>
        </w:rPr>
        <w:t>, de tal manera que sólo se tenga en cuenta el criterio de asignación de puntaje</w:t>
      </w:r>
      <w:r w:rsidR="00F65A17" w:rsidRPr="6CB76B80">
        <w:rPr>
          <w:rFonts w:ascii="Arial" w:eastAsia="Arial" w:hAnsi="Arial" w:cs="Arial"/>
          <w:color w:val="000000" w:themeColor="text1"/>
          <w:sz w:val="23"/>
          <w:szCs w:val="23"/>
        </w:rPr>
        <w:t xml:space="preserve">. </w:t>
      </w:r>
    </w:p>
    <w:p w14:paraId="463F6500" w14:textId="09128D3E" w:rsidR="00000279" w:rsidRDefault="00000279">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4D559623" w14:textId="2E853B89" w:rsidR="00225659" w:rsidRDefault="00294CF8"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De igual manera, el artículo 17 </w:t>
      </w:r>
      <w:r w:rsidR="00F1685C" w:rsidRPr="6CB76B80">
        <w:rPr>
          <w:rFonts w:ascii="Arial" w:eastAsia="Arial" w:hAnsi="Arial" w:cs="Arial"/>
          <w:color w:val="000000" w:themeColor="text1"/>
          <w:sz w:val="23"/>
          <w:szCs w:val="23"/>
        </w:rPr>
        <w:t xml:space="preserve">se </w:t>
      </w:r>
      <w:r w:rsidRPr="6CB76B80">
        <w:rPr>
          <w:rFonts w:ascii="Arial" w:eastAsia="Arial" w:hAnsi="Arial" w:cs="Arial"/>
          <w:color w:val="000000" w:themeColor="text1"/>
          <w:sz w:val="23"/>
          <w:szCs w:val="23"/>
        </w:rPr>
        <w:t xml:space="preserve">incluye el </w:t>
      </w:r>
      <w:r w:rsidR="009D65DA" w:rsidRPr="6CB76B80">
        <w:rPr>
          <w:rFonts w:ascii="Arial" w:eastAsia="Arial" w:hAnsi="Arial" w:cs="Arial"/>
          <w:color w:val="000000" w:themeColor="text1"/>
          <w:sz w:val="23"/>
          <w:szCs w:val="23"/>
        </w:rPr>
        <w:t>«</w:t>
      </w:r>
      <w:r w:rsidR="00BE2E83" w:rsidRPr="6CB76B80">
        <w:rPr>
          <w:rFonts w:ascii="Arial" w:eastAsia="Arial" w:hAnsi="Arial" w:cs="Arial"/>
          <w:color w:val="000000" w:themeColor="text1"/>
          <w:sz w:val="23"/>
          <w:szCs w:val="23"/>
        </w:rPr>
        <w:t xml:space="preserve">Formato 10 </w:t>
      </w:r>
      <w:r w:rsidR="009D65DA" w:rsidRPr="6CB76B80">
        <w:rPr>
          <w:rFonts w:ascii="Arial" w:eastAsia="Arial" w:hAnsi="Arial" w:cs="Arial"/>
          <w:color w:val="000000" w:themeColor="text1"/>
          <w:sz w:val="23"/>
          <w:szCs w:val="23"/>
        </w:rPr>
        <w:t xml:space="preserve">– Factores de desempate» a los documentos tipo de interventoría de obra pública de infraestructura de transporte, de tal manera que estos </w:t>
      </w:r>
      <w:r w:rsidR="760464B1" w:rsidRPr="6CB76B80">
        <w:rPr>
          <w:rFonts w:ascii="Arial" w:eastAsia="Arial" w:hAnsi="Arial" w:cs="Arial"/>
          <w:color w:val="000000" w:themeColor="text1"/>
          <w:sz w:val="23"/>
          <w:szCs w:val="23"/>
        </w:rPr>
        <w:t>s</w:t>
      </w:r>
      <w:r w:rsidR="65EA7E69" w:rsidRPr="6CB76B80">
        <w:rPr>
          <w:rFonts w:ascii="Arial" w:eastAsia="Arial" w:hAnsi="Arial" w:cs="Arial"/>
          <w:color w:val="000000" w:themeColor="text1"/>
          <w:sz w:val="23"/>
          <w:szCs w:val="23"/>
        </w:rPr>
        <w:t>ea</w:t>
      </w:r>
      <w:r w:rsidR="760464B1" w:rsidRPr="6CB76B80">
        <w:rPr>
          <w:rFonts w:ascii="Arial" w:eastAsia="Arial" w:hAnsi="Arial" w:cs="Arial"/>
          <w:color w:val="000000" w:themeColor="text1"/>
          <w:sz w:val="23"/>
          <w:szCs w:val="23"/>
        </w:rPr>
        <w:t>n</w:t>
      </w:r>
      <w:r w:rsidR="009D65DA" w:rsidRPr="6CB76B80">
        <w:rPr>
          <w:rFonts w:ascii="Arial" w:eastAsia="Arial" w:hAnsi="Arial" w:cs="Arial"/>
          <w:color w:val="000000" w:themeColor="text1"/>
          <w:sz w:val="23"/>
          <w:szCs w:val="23"/>
        </w:rPr>
        <w:t xml:space="preserve"> </w:t>
      </w:r>
      <w:r w:rsidR="00E219CA" w:rsidRPr="6CB76B80">
        <w:rPr>
          <w:rFonts w:ascii="Arial" w:eastAsia="Arial" w:hAnsi="Arial" w:cs="Arial"/>
          <w:color w:val="000000" w:themeColor="text1"/>
          <w:sz w:val="23"/>
          <w:szCs w:val="23"/>
        </w:rPr>
        <w:t xml:space="preserve">los formatos que diligencia el oferente para la acreditación de cada uno de estos criterios. Por su parte, el artículo 18 </w:t>
      </w:r>
      <w:r w:rsidR="00386F77" w:rsidRPr="6CB76B80">
        <w:rPr>
          <w:rFonts w:ascii="Arial" w:eastAsia="Arial" w:hAnsi="Arial" w:cs="Arial"/>
          <w:color w:val="000000" w:themeColor="text1"/>
          <w:sz w:val="23"/>
          <w:szCs w:val="23"/>
        </w:rPr>
        <w:t xml:space="preserve">incluye el «Formato 11 </w:t>
      </w:r>
      <w:r w:rsidRPr="6CB76B80">
        <w:rPr>
          <w:rFonts w:ascii="Arial" w:eastAsia="Arial" w:hAnsi="Arial" w:cs="Arial"/>
          <w:color w:val="000000" w:themeColor="text1"/>
          <w:sz w:val="23"/>
          <w:szCs w:val="23"/>
        </w:rPr>
        <w:t xml:space="preserve">– Autorización para el tratamiento de datos personales» a los documentos tipo </w:t>
      </w:r>
      <w:r w:rsidR="006030C7" w:rsidRPr="6CB76B80">
        <w:rPr>
          <w:rFonts w:ascii="Arial" w:eastAsia="Arial" w:hAnsi="Arial" w:cs="Arial"/>
          <w:color w:val="000000" w:themeColor="text1"/>
          <w:sz w:val="23"/>
          <w:szCs w:val="23"/>
        </w:rPr>
        <w:t xml:space="preserve">de interventoría de obra pública de infraestructura de transporte, es así como se garantiza el manejo adecuado a los datos sensibles relacionados con las mujeres víctimas de violencia intrafamiliar, </w:t>
      </w:r>
      <w:r w:rsidR="004D1D20" w:rsidRPr="6CB76B80">
        <w:rPr>
          <w:rFonts w:ascii="Arial" w:eastAsia="Arial" w:hAnsi="Arial" w:cs="Arial"/>
          <w:color w:val="000000" w:themeColor="text1"/>
          <w:sz w:val="23"/>
          <w:szCs w:val="23"/>
        </w:rPr>
        <w:t>personas en proceso de reincorporación y/</w:t>
      </w:r>
      <w:r w:rsidR="007146E6" w:rsidRPr="6CB76B80">
        <w:rPr>
          <w:rFonts w:ascii="Arial" w:eastAsia="Arial" w:hAnsi="Arial" w:cs="Arial"/>
          <w:color w:val="000000" w:themeColor="text1"/>
          <w:sz w:val="23"/>
          <w:szCs w:val="23"/>
        </w:rPr>
        <w:t>o reintegración y la po</w:t>
      </w:r>
      <w:r w:rsidR="00634D69" w:rsidRPr="6CB76B80">
        <w:rPr>
          <w:rFonts w:ascii="Arial" w:eastAsia="Arial" w:hAnsi="Arial" w:cs="Arial"/>
          <w:color w:val="000000" w:themeColor="text1"/>
          <w:sz w:val="23"/>
          <w:szCs w:val="23"/>
        </w:rPr>
        <w:t xml:space="preserve">blación indígena, raizal, palenquera, </w:t>
      </w:r>
      <w:proofErr w:type="spellStart"/>
      <w:r w:rsidR="00634D69" w:rsidRPr="6CB76B80">
        <w:rPr>
          <w:rFonts w:ascii="Arial" w:eastAsia="Arial" w:hAnsi="Arial" w:cs="Arial"/>
          <w:color w:val="000000" w:themeColor="text1"/>
          <w:sz w:val="23"/>
          <w:szCs w:val="23"/>
        </w:rPr>
        <w:t>Rrom</w:t>
      </w:r>
      <w:proofErr w:type="spellEnd"/>
      <w:r w:rsidR="00F57580" w:rsidRPr="6CB76B80">
        <w:rPr>
          <w:rFonts w:ascii="Arial" w:eastAsia="Arial" w:hAnsi="Arial" w:cs="Arial"/>
          <w:color w:val="000000" w:themeColor="text1"/>
          <w:sz w:val="23"/>
          <w:szCs w:val="23"/>
        </w:rPr>
        <w:t xml:space="preserve"> o gitanas. </w:t>
      </w:r>
      <w:r w:rsidR="00507844" w:rsidRPr="6CB76B80">
        <w:rPr>
          <w:rFonts w:ascii="Arial" w:eastAsia="Arial" w:hAnsi="Arial" w:cs="Arial"/>
          <w:color w:val="000000" w:themeColor="text1"/>
          <w:sz w:val="23"/>
          <w:szCs w:val="23"/>
        </w:rPr>
        <w:t xml:space="preserve">Asimismo, </w:t>
      </w:r>
      <w:r w:rsidR="002E47E0" w:rsidRPr="6CB76B80">
        <w:rPr>
          <w:rFonts w:ascii="Arial" w:eastAsia="Arial" w:hAnsi="Arial" w:cs="Arial"/>
          <w:color w:val="000000" w:themeColor="text1"/>
          <w:sz w:val="23"/>
          <w:szCs w:val="23"/>
        </w:rPr>
        <w:t>el artículo 19</w:t>
      </w:r>
      <w:r w:rsidR="00C318A1" w:rsidRPr="6CB76B80">
        <w:rPr>
          <w:rFonts w:ascii="Arial" w:eastAsia="Arial" w:hAnsi="Arial" w:cs="Arial"/>
          <w:color w:val="000000" w:themeColor="text1"/>
          <w:sz w:val="23"/>
          <w:szCs w:val="23"/>
        </w:rPr>
        <w:t xml:space="preserve"> incluye el numeral 1.19 «Confidencialidad </w:t>
      </w:r>
      <w:r w:rsidR="00A32F17" w:rsidRPr="6CB76B80">
        <w:rPr>
          <w:rFonts w:ascii="Arial" w:eastAsia="Arial" w:hAnsi="Arial" w:cs="Arial"/>
          <w:color w:val="000000" w:themeColor="text1"/>
          <w:sz w:val="23"/>
          <w:szCs w:val="23"/>
        </w:rPr>
        <w:t>de la información re</w:t>
      </w:r>
      <w:r w:rsidR="006A13B5" w:rsidRPr="6CB76B80">
        <w:rPr>
          <w:rFonts w:ascii="Arial" w:eastAsia="Arial" w:hAnsi="Arial" w:cs="Arial"/>
          <w:color w:val="000000" w:themeColor="text1"/>
          <w:sz w:val="23"/>
          <w:szCs w:val="23"/>
        </w:rPr>
        <w:t>lacionada con datos sensibles»</w:t>
      </w:r>
      <w:r w:rsidR="0099579A" w:rsidRPr="6CB76B80">
        <w:rPr>
          <w:rFonts w:ascii="Arial" w:eastAsia="Arial" w:hAnsi="Arial" w:cs="Arial"/>
          <w:color w:val="000000" w:themeColor="text1"/>
          <w:sz w:val="23"/>
          <w:szCs w:val="23"/>
        </w:rPr>
        <w:t xml:space="preserve"> que garan</w:t>
      </w:r>
      <w:r w:rsidR="00E03320" w:rsidRPr="6CB76B80">
        <w:rPr>
          <w:rFonts w:ascii="Arial" w:eastAsia="Arial" w:hAnsi="Arial" w:cs="Arial"/>
          <w:color w:val="000000" w:themeColor="text1"/>
          <w:sz w:val="23"/>
          <w:szCs w:val="23"/>
        </w:rPr>
        <w:t>t</w:t>
      </w:r>
      <w:r w:rsidR="0099579A" w:rsidRPr="6CB76B80">
        <w:rPr>
          <w:rFonts w:ascii="Arial" w:eastAsia="Arial" w:hAnsi="Arial" w:cs="Arial"/>
          <w:color w:val="000000" w:themeColor="text1"/>
          <w:sz w:val="23"/>
          <w:szCs w:val="23"/>
        </w:rPr>
        <w:t>ice</w:t>
      </w:r>
      <w:r w:rsidR="00E03320" w:rsidRPr="6CB76B80">
        <w:rPr>
          <w:rFonts w:ascii="Arial" w:eastAsia="Arial" w:hAnsi="Arial" w:cs="Arial"/>
          <w:color w:val="000000" w:themeColor="text1"/>
          <w:sz w:val="23"/>
          <w:szCs w:val="23"/>
        </w:rPr>
        <w:t xml:space="preserve"> el derecho a la intimidad </w:t>
      </w:r>
      <w:r w:rsidR="00054199" w:rsidRPr="6CB76B80">
        <w:rPr>
          <w:rFonts w:ascii="Arial" w:eastAsia="Arial" w:hAnsi="Arial" w:cs="Arial"/>
          <w:color w:val="000000" w:themeColor="text1"/>
          <w:sz w:val="23"/>
          <w:szCs w:val="23"/>
        </w:rPr>
        <w:t xml:space="preserve">de las mujeres </w:t>
      </w:r>
      <w:r w:rsidR="009A2430" w:rsidRPr="6CB76B80">
        <w:rPr>
          <w:rFonts w:ascii="Arial" w:eastAsia="Arial" w:hAnsi="Arial" w:cs="Arial"/>
          <w:color w:val="000000" w:themeColor="text1"/>
          <w:sz w:val="23"/>
          <w:szCs w:val="23"/>
        </w:rPr>
        <w:t>víctimas</w:t>
      </w:r>
      <w:r w:rsidR="00054199" w:rsidRPr="6CB76B80">
        <w:rPr>
          <w:rFonts w:ascii="Arial" w:eastAsia="Arial" w:hAnsi="Arial" w:cs="Arial"/>
          <w:color w:val="000000" w:themeColor="text1"/>
          <w:sz w:val="23"/>
          <w:szCs w:val="23"/>
        </w:rPr>
        <w:t xml:space="preserve"> de violencia intrafamiliar</w:t>
      </w:r>
      <w:r w:rsidR="00422817" w:rsidRPr="6CB76B80">
        <w:rPr>
          <w:rFonts w:ascii="Arial" w:eastAsia="Arial" w:hAnsi="Arial" w:cs="Arial"/>
          <w:color w:val="000000" w:themeColor="text1"/>
          <w:sz w:val="23"/>
          <w:szCs w:val="23"/>
        </w:rPr>
        <w:t xml:space="preserve">, personas en proceso de reincorporación y/o reintegración y la población </w:t>
      </w:r>
      <w:r w:rsidR="004163A2" w:rsidRPr="6CB76B80">
        <w:rPr>
          <w:rFonts w:ascii="Arial" w:eastAsia="Arial" w:hAnsi="Arial" w:cs="Arial"/>
          <w:color w:val="000000" w:themeColor="text1"/>
          <w:sz w:val="23"/>
          <w:szCs w:val="23"/>
        </w:rPr>
        <w:t xml:space="preserve">indígena, negra, afrocolombiana, raizal, palenquera, </w:t>
      </w:r>
      <w:proofErr w:type="spellStart"/>
      <w:r w:rsidR="004163A2" w:rsidRPr="6CB76B80">
        <w:rPr>
          <w:rFonts w:ascii="Arial" w:eastAsia="Arial" w:hAnsi="Arial" w:cs="Arial"/>
          <w:color w:val="000000" w:themeColor="text1"/>
          <w:sz w:val="23"/>
          <w:szCs w:val="23"/>
        </w:rPr>
        <w:t>Rrom</w:t>
      </w:r>
      <w:proofErr w:type="spellEnd"/>
      <w:r w:rsidR="004163A2" w:rsidRPr="6CB76B80">
        <w:rPr>
          <w:rFonts w:ascii="Arial" w:eastAsia="Arial" w:hAnsi="Arial" w:cs="Arial"/>
          <w:color w:val="000000" w:themeColor="text1"/>
          <w:sz w:val="23"/>
          <w:szCs w:val="23"/>
        </w:rPr>
        <w:t xml:space="preserve"> o gitanas. </w:t>
      </w:r>
      <w:r w:rsidR="00225659" w:rsidRPr="6CB76B80">
        <w:rPr>
          <w:rFonts w:ascii="Arial" w:eastAsia="Arial" w:hAnsi="Arial" w:cs="Arial"/>
          <w:color w:val="000000" w:themeColor="text1"/>
          <w:sz w:val="23"/>
          <w:szCs w:val="23"/>
        </w:rPr>
        <w:t xml:space="preserve">Al respecto, el artículo </w:t>
      </w:r>
      <w:r w:rsidR="009A2430" w:rsidRPr="6CB76B80">
        <w:rPr>
          <w:rFonts w:ascii="Arial" w:eastAsia="Arial" w:hAnsi="Arial" w:cs="Arial"/>
          <w:color w:val="000000" w:themeColor="text1"/>
          <w:sz w:val="23"/>
          <w:szCs w:val="23"/>
        </w:rPr>
        <w:t>20</w:t>
      </w:r>
      <w:r w:rsidR="00225659" w:rsidRPr="6CB76B80">
        <w:rPr>
          <w:rFonts w:ascii="Arial" w:eastAsia="Arial" w:hAnsi="Arial" w:cs="Arial"/>
          <w:color w:val="000000" w:themeColor="text1"/>
          <w:sz w:val="23"/>
          <w:szCs w:val="23"/>
        </w:rPr>
        <w:t xml:space="preserve"> </w:t>
      </w:r>
      <w:r w:rsidR="00BB7E5A" w:rsidRPr="6CB76B80">
        <w:rPr>
          <w:rFonts w:ascii="Arial" w:eastAsia="Arial" w:hAnsi="Arial" w:cs="Arial"/>
          <w:color w:val="000000" w:themeColor="text1"/>
          <w:sz w:val="23"/>
          <w:szCs w:val="23"/>
        </w:rPr>
        <w:t xml:space="preserve">modifica el numeral «11.2 Formatos» </w:t>
      </w:r>
      <w:r w:rsidR="00B93D86" w:rsidRPr="6CB76B80">
        <w:rPr>
          <w:rFonts w:ascii="Arial" w:eastAsia="Arial" w:hAnsi="Arial" w:cs="Arial"/>
          <w:color w:val="000000" w:themeColor="text1"/>
          <w:sz w:val="23"/>
          <w:szCs w:val="23"/>
        </w:rPr>
        <w:t xml:space="preserve">a los documentos tipos de interventoría de obra pública de infraestructura de transporte </w:t>
      </w:r>
      <w:r w:rsidR="005973BD" w:rsidRPr="6CB76B80">
        <w:rPr>
          <w:rFonts w:ascii="Arial" w:eastAsia="Arial" w:hAnsi="Arial" w:cs="Arial"/>
          <w:color w:val="000000" w:themeColor="text1"/>
          <w:sz w:val="23"/>
          <w:szCs w:val="23"/>
        </w:rPr>
        <w:t xml:space="preserve">en el cual se incluye: </w:t>
      </w:r>
      <w:r w:rsidR="0097618D" w:rsidRPr="6CB76B80">
        <w:rPr>
          <w:rFonts w:ascii="Arial" w:eastAsia="Arial" w:hAnsi="Arial" w:cs="Arial"/>
          <w:color w:val="000000" w:themeColor="text1"/>
          <w:sz w:val="23"/>
          <w:szCs w:val="23"/>
        </w:rPr>
        <w:t xml:space="preserve">i) el «Formato </w:t>
      </w:r>
      <w:r w:rsidR="008B6109" w:rsidRPr="6CB76B80">
        <w:rPr>
          <w:rFonts w:ascii="Arial" w:eastAsia="Arial" w:hAnsi="Arial" w:cs="Arial"/>
          <w:color w:val="000000" w:themeColor="text1"/>
          <w:sz w:val="23"/>
          <w:szCs w:val="23"/>
        </w:rPr>
        <w:t xml:space="preserve">10 </w:t>
      </w:r>
      <w:r w:rsidR="0097618D" w:rsidRPr="6CB76B80">
        <w:rPr>
          <w:rFonts w:ascii="Arial" w:eastAsia="Arial" w:hAnsi="Arial" w:cs="Arial"/>
          <w:color w:val="000000" w:themeColor="text1"/>
          <w:sz w:val="23"/>
          <w:szCs w:val="23"/>
        </w:rPr>
        <w:t>– Factores de desempate y ii) el «Formato 1</w:t>
      </w:r>
      <w:r w:rsidR="008B6109" w:rsidRPr="6CB76B80">
        <w:rPr>
          <w:rFonts w:ascii="Arial" w:eastAsia="Arial" w:hAnsi="Arial" w:cs="Arial"/>
          <w:color w:val="000000" w:themeColor="text1"/>
          <w:sz w:val="23"/>
          <w:szCs w:val="23"/>
        </w:rPr>
        <w:t>1</w:t>
      </w:r>
      <w:r w:rsidR="0097618D" w:rsidRPr="6CB76B80">
        <w:rPr>
          <w:rFonts w:ascii="Arial" w:eastAsia="Arial" w:hAnsi="Arial" w:cs="Arial"/>
          <w:color w:val="000000" w:themeColor="text1"/>
          <w:sz w:val="23"/>
          <w:szCs w:val="23"/>
        </w:rPr>
        <w:t xml:space="preserve"> – Autorización para el tratamiento de datos personales». </w:t>
      </w:r>
    </w:p>
    <w:p w14:paraId="02EF679F" w14:textId="35670233" w:rsidR="0097618D" w:rsidRDefault="0097618D">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06ACB38F" w14:textId="523C6932" w:rsidR="00813D69" w:rsidRDefault="00813D69"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Por otro lado, el artículo </w:t>
      </w:r>
      <w:proofErr w:type="gramStart"/>
      <w:r w:rsidRPr="6CB76B80">
        <w:rPr>
          <w:rFonts w:ascii="Arial" w:eastAsia="Arial" w:hAnsi="Arial" w:cs="Arial"/>
          <w:color w:val="000000" w:themeColor="text1"/>
          <w:sz w:val="23"/>
          <w:szCs w:val="23"/>
        </w:rPr>
        <w:t>2</w:t>
      </w:r>
      <w:r w:rsidR="008B6109" w:rsidRPr="6CB76B80">
        <w:rPr>
          <w:rFonts w:ascii="Arial" w:eastAsia="Arial" w:hAnsi="Arial" w:cs="Arial"/>
          <w:color w:val="000000" w:themeColor="text1"/>
          <w:sz w:val="23"/>
          <w:szCs w:val="23"/>
        </w:rPr>
        <w:t>1</w:t>
      </w:r>
      <w:r w:rsidRPr="6CB76B80">
        <w:rPr>
          <w:rFonts w:ascii="Arial" w:eastAsia="Arial" w:hAnsi="Arial" w:cs="Arial"/>
          <w:color w:val="000000" w:themeColor="text1"/>
          <w:sz w:val="23"/>
          <w:szCs w:val="23"/>
        </w:rPr>
        <w:t xml:space="preserve"> </w:t>
      </w:r>
      <w:r w:rsidR="008E6634" w:rsidRPr="6CB76B80">
        <w:rPr>
          <w:rFonts w:ascii="Arial" w:eastAsia="Arial" w:hAnsi="Arial" w:cs="Arial"/>
          <w:color w:val="000000" w:themeColor="text1"/>
          <w:sz w:val="23"/>
          <w:szCs w:val="23"/>
        </w:rPr>
        <w:t xml:space="preserve"> modifica</w:t>
      </w:r>
      <w:proofErr w:type="gramEnd"/>
      <w:r w:rsidR="008E6634" w:rsidRPr="6CB76B80">
        <w:rPr>
          <w:rFonts w:ascii="Arial" w:eastAsia="Arial" w:hAnsi="Arial" w:cs="Arial"/>
          <w:color w:val="000000" w:themeColor="text1"/>
          <w:sz w:val="23"/>
          <w:szCs w:val="23"/>
        </w:rPr>
        <w:t xml:space="preserve"> la «Matriz 1 – Experiencia» </w:t>
      </w:r>
      <w:r w:rsidR="00001DCB" w:rsidRPr="6CB76B80">
        <w:rPr>
          <w:rFonts w:ascii="Arial" w:eastAsia="Arial" w:hAnsi="Arial" w:cs="Arial"/>
          <w:color w:val="000000" w:themeColor="text1"/>
          <w:sz w:val="23"/>
          <w:szCs w:val="23"/>
        </w:rPr>
        <w:t>a los documentos tipo de obra pública de infraestructura de transporte adelantados bajo la modalidad de licitación pública –Versión 3–, adoptados mediante la resolución 240 del 27 de noviembre de 2020, selección abreviada de menor cuantía –Versión 2–, adoptados mediante la resolución 241 del 27 de noviembre de 2020</w:t>
      </w:r>
      <w:r w:rsidR="6014BDF4" w:rsidRPr="6CB76B80">
        <w:rPr>
          <w:rFonts w:ascii="Arial" w:eastAsia="Arial" w:hAnsi="Arial" w:cs="Arial"/>
          <w:color w:val="000000" w:themeColor="text1"/>
          <w:sz w:val="23"/>
          <w:szCs w:val="23"/>
        </w:rPr>
        <w:t>.</w:t>
      </w:r>
      <w:r w:rsidR="110D3C40" w:rsidRPr="6CB76B80">
        <w:rPr>
          <w:rFonts w:ascii="Arial" w:eastAsia="Arial" w:hAnsi="Arial" w:cs="Arial"/>
          <w:color w:val="000000" w:themeColor="text1"/>
          <w:sz w:val="23"/>
          <w:szCs w:val="23"/>
        </w:rPr>
        <w:t xml:space="preserve"> De igual forma, se modifica la </w:t>
      </w:r>
      <w:r w:rsidR="00F13192">
        <w:rPr>
          <w:rFonts w:ascii="Arial" w:eastAsia="Arial" w:hAnsi="Arial" w:cs="Arial"/>
          <w:color w:val="000000" w:themeColor="text1"/>
          <w:sz w:val="23"/>
          <w:szCs w:val="23"/>
        </w:rPr>
        <w:t>«</w:t>
      </w:r>
      <w:r w:rsidR="110D3C40" w:rsidRPr="6CB76B80">
        <w:rPr>
          <w:rFonts w:ascii="Arial" w:eastAsia="Arial" w:hAnsi="Arial" w:cs="Arial"/>
          <w:color w:val="000000" w:themeColor="text1"/>
          <w:sz w:val="23"/>
          <w:szCs w:val="23"/>
        </w:rPr>
        <w:t>Matriz 1 – Experiencia</w:t>
      </w:r>
      <w:r w:rsidR="00F13192">
        <w:rPr>
          <w:rFonts w:ascii="Arial" w:eastAsia="Arial" w:hAnsi="Arial" w:cs="Arial"/>
          <w:color w:val="000000" w:themeColor="text1"/>
          <w:sz w:val="23"/>
          <w:szCs w:val="23"/>
        </w:rPr>
        <w:t>»</w:t>
      </w:r>
      <w:r w:rsidR="110D3C40" w:rsidRPr="6CB76B80">
        <w:rPr>
          <w:rFonts w:ascii="Arial" w:eastAsia="Arial" w:hAnsi="Arial" w:cs="Arial"/>
          <w:color w:val="000000" w:themeColor="text1"/>
          <w:sz w:val="23"/>
          <w:szCs w:val="23"/>
        </w:rPr>
        <w:t xml:space="preserve"> de </w:t>
      </w:r>
      <w:r w:rsidR="00001DCB" w:rsidRPr="6CB76B80">
        <w:rPr>
          <w:rFonts w:ascii="Arial" w:eastAsia="Arial" w:hAnsi="Arial" w:cs="Arial"/>
          <w:color w:val="000000" w:themeColor="text1"/>
          <w:sz w:val="23"/>
          <w:szCs w:val="23"/>
        </w:rPr>
        <w:t>la modalidad de mínima cuantía, adoptados mediante la resolución 094 del 21 de mayo de 2020 y los de interventoría de obra pública de infraestructura de transporte adelantados bajo la modalidad de concurso de méritos abiertos, adoptados mediante la resolución 256 del 11 de diciembre de 2020</w:t>
      </w:r>
      <w:r w:rsidR="007A1E00" w:rsidRPr="6CB76B80">
        <w:rPr>
          <w:rFonts w:ascii="Arial" w:eastAsia="Arial" w:hAnsi="Arial" w:cs="Arial"/>
          <w:color w:val="000000" w:themeColor="text1"/>
          <w:sz w:val="23"/>
          <w:szCs w:val="23"/>
        </w:rPr>
        <w:t>, para definir un alcance más riguroso en la</w:t>
      </w:r>
      <w:r w:rsidR="00EF4904" w:rsidRPr="6CB76B80">
        <w:rPr>
          <w:rFonts w:ascii="Arial" w:eastAsia="Arial" w:hAnsi="Arial" w:cs="Arial"/>
          <w:color w:val="000000" w:themeColor="text1"/>
          <w:sz w:val="23"/>
          <w:szCs w:val="23"/>
        </w:rPr>
        <w:t xml:space="preserve"> experiencia relacionada con la</w:t>
      </w:r>
      <w:r w:rsidR="007A1E00" w:rsidRPr="6CB76B80">
        <w:rPr>
          <w:rFonts w:ascii="Arial" w:eastAsia="Arial" w:hAnsi="Arial" w:cs="Arial"/>
          <w:color w:val="000000" w:themeColor="text1"/>
          <w:sz w:val="23"/>
          <w:szCs w:val="23"/>
        </w:rPr>
        <w:t>s actividades de semaforización</w:t>
      </w:r>
      <w:r w:rsidR="00001DCB" w:rsidRPr="6CB76B80">
        <w:rPr>
          <w:rFonts w:ascii="Arial" w:eastAsia="Arial" w:hAnsi="Arial" w:cs="Arial"/>
          <w:color w:val="000000" w:themeColor="text1"/>
          <w:sz w:val="23"/>
          <w:szCs w:val="23"/>
        </w:rPr>
        <w:t xml:space="preserve">. </w:t>
      </w:r>
    </w:p>
    <w:p w14:paraId="520910B1" w14:textId="77777777" w:rsidR="00813D69" w:rsidRDefault="00813D69" w:rsidP="00813D69">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0FCFAB4E" w14:textId="729C9726" w:rsidR="008E6634" w:rsidRDefault="17B8145F"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Así</w:t>
      </w:r>
      <w:r w:rsidR="00001DCB" w:rsidRPr="6CB76B80">
        <w:rPr>
          <w:rFonts w:ascii="Arial" w:eastAsia="Arial" w:hAnsi="Arial" w:cs="Arial"/>
          <w:color w:val="000000" w:themeColor="text1"/>
          <w:sz w:val="23"/>
          <w:szCs w:val="23"/>
        </w:rPr>
        <w:t xml:space="preserve">, el artículo </w:t>
      </w:r>
      <w:r w:rsidR="00A73D50" w:rsidRPr="6CB76B80">
        <w:rPr>
          <w:rFonts w:ascii="Arial" w:eastAsia="Arial" w:hAnsi="Arial" w:cs="Arial"/>
          <w:color w:val="000000" w:themeColor="text1"/>
          <w:sz w:val="23"/>
          <w:szCs w:val="23"/>
        </w:rPr>
        <w:t>2</w:t>
      </w:r>
      <w:r w:rsidR="008B6109" w:rsidRPr="6CB76B80">
        <w:rPr>
          <w:rFonts w:ascii="Arial" w:eastAsia="Arial" w:hAnsi="Arial" w:cs="Arial"/>
          <w:color w:val="000000" w:themeColor="text1"/>
          <w:sz w:val="23"/>
          <w:szCs w:val="23"/>
        </w:rPr>
        <w:t>2</w:t>
      </w:r>
      <w:r w:rsidR="00001DCB" w:rsidRPr="6CB76B80">
        <w:rPr>
          <w:rFonts w:ascii="Arial" w:eastAsia="Arial" w:hAnsi="Arial" w:cs="Arial"/>
          <w:color w:val="000000" w:themeColor="text1"/>
          <w:sz w:val="23"/>
          <w:szCs w:val="23"/>
        </w:rPr>
        <w:t xml:space="preserve"> modifica el «Anexo 3 – Glosario» </w:t>
      </w:r>
      <w:r w:rsidR="00210577" w:rsidRPr="6CB76B80">
        <w:rPr>
          <w:rFonts w:ascii="Arial" w:eastAsia="Arial" w:hAnsi="Arial" w:cs="Arial"/>
          <w:color w:val="000000" w:themeColor="text1"/>
          <w:sz w:val="23"/>
          <w:szCs w:val="23"/>
        </w:rPr>
        <w:t>a los documentos tipo de obra pública del sector</w:t>
      </w:r>
      <w:r w:rsidR="00790935" w:rsidRPr="6CB76B80">
        <w:rPr>
          <w:rFonts w:ascii="Arial" w:eastAsia="Arial" w:hAnsi="Arial" w:cs="Arial"/>
          <w:color w:val="000000" w:themeColor="text1"/>
          <w:sz w:val="23"/>
          <w:szCs w:val="23"/>
        </w:rPr>
        <w:t xml:space="preserve"> </w:t>
      </w:r>
      <w:r w:rsidR="00210577" w:rsidRPr="6CB76B80">
        <w:rPr>
          <w:rFonts w:ascii="Arial" w:eastAsia="Arial" w:hAnsi="Arial" w:cs="Arial"/>
          <w:color w:val="000000" w:themeColor="text1"/>
          <w:sz w:val="23"/>
          <w:szCs w:val="23"/>
        </w:rPr>
        <w:t>transporte</w:t>
      </w:r>
      <w:r w:rsidR="00041C7F" w:rsidRPr="6CB76B80">
        <w:rPr>
          <w:rFonts w:ascii="Arial" w:eastAsia="Arial" w:hAnsi="Arial" w:cs="Arial"/>
          <w:color w:val="000000" w:themeColor="text1"/>
          <w:sz w:val="23"/>
          <w:szCs w:val="23"/>
        </w:rPr>
        <w:t xml:space="preserve"> </w:t>
      </w:r>
      <w:r w:rsidR="00470E47" w:rsidRPr="6CB76B80">
        <w:rPr>
          <w:rFonts w:ascii="Arial" w:eastAsia="Arial" w:hAnsi="Arial" w:cs="Arial"/>
          <w:color w:val="000000" w:themeColor="text1"/>
          <w:sz w:val="23"/>
          <w:szCs w:val="23"/>
        </w:rPr>
        <w:t>para</w:t>
      </w:r>
      <w:r w:rsidR="00041C7F" w:rsidRPr="6CB76B80">
        <w:rPr>
          <w:rFonts w:ascii="Arial" w:eastAsia="Arial" w:hAnsi="Arial" w:cs="Arial"/>
          <w:color w:val="000000" w:themeColor="text1"/>
          <w:sz w:val="23"/>
          <w:szCs w:val="23"/>
        </w:rPr>
        <w:t xml:space="preserve"> ajustar, complementar y/o eliminar, para que concuerden con los conceptos relativos a la normativa vigente en el sector transporte.</w:t>
      </w:r>
      <w:r w:rsidR="00790935" w:rsidRPr="6CB76B80">
        <w:rPr>
          <w:rFonts w:ascii="Arial" w:eastAsia="Arial" w:hAnsi="Arial" w:cs="Arial"/>
          <w:color w:val="000000" w:themeColor="text1"/>
          <w:sz w:val="23"/>
          <w:szCs w:val="23"/>
        </w:rPr>
        <w:t xml:space="preserve"> </w:t>
      </w:r>
    </w:p>
    <w:p w14:paraId="1E3B5989" w14:textId="65E6AAC5" w:rsidR="007B73FA" w:rsidRDefault="007B73FA" w:rsidP="00813D69">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0024CCC5" w14:textId="79B9CB92" w:rsidR="005A0C81" w:rsidRDefault="00DA314B"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Por </w:t>
      </w:r>
      <w:r w:rsidR="0470061F" w:rsidRPr="6CB76B80">
        <w:rPr>
          <w:rFonts w:ascii="Arial" w:eastAsia="Arial" w:hAnsi="Arial" w:cs="Arial"/>
          <w:color w:val="000000" w:themeColor="text1"/>
          <w:sz w:val="23"/>
          <w:szCs w:val="23"/>
        </w:rPr>
        <w:t>su parte</w:t>
      </w:r>
      <w:r w:rsidRPr="6CB76B80">
        <w:rPr>
          <w:rFonts w:ascii="Arial" w:eastAsia="Arial" w:hAnsi="Arial" w:cs="Arial"/>
          <w:color w:val="000000" w:themeColor="text1"/>
          <w:sz w:val="23"/>
          <w:szCs w:val="23"/>
        </w:rPr>
        <w:t>, el artículo 2</w:t>
      </w:r>
      <w:r w:rsidR="008B6109" w:rsidRPr="6CB76B80">
        <w:rPr>
          <w:rFonts w:ascii="Arial" w:eastAsia="Arial" w:hAnsi="Arial" w:cs="Arial"/>
          <w:color w:val="000000" w:themeColor="text1"/>
          <w:sz w:val="23"/>
          <w:szCs w:val="23"/>
        </w:rPr>
        <w:t>3</w:t>
      </w:r>
      <w:r w:rsidR="0016090E" w:rsidRPr="6CB76B80">
        <w:rPr>
          <w:rFonts w:ascii="Arial" w:eastAsia="Arial" w:hAnsi="Arial" w:cs="Arial"/>
          <w:color w:val="000000" w:themeColor="text1"/>
          <w:sz w:val="23"/>
          <w:szCs w:val="23"/>
        </w:rPr>
        <w:t xml:space="preserve">, </w:t>
      </w:r>
      <w:r w:rsidR="0E9D9B2F" w:rsidRPr="6CB76B80">
        <w:rPr>
          <w:rFonts w:ascii="Arial" w:eastAsia="Arial" w:hAnsi="Arial" w:cs="Arial"/>
          <w:color w:val="000000" w:themeColor="text1"/>
          <w:sz w:val="23"/>
          <w:szCs w:val="23"/>
        </w:rPr>
        <w:t>adi</w:t>
      </w:r>
      <w:r w:rsidR="0DA24622" w:rsidRPr="6CB76B80">
        <w:rPr>
          <w:rFonts w:ascii="Arial" w:eastAsia="Arial" w:hAnsi="Arial" w:cs="Arial"/>
          <w:color w:val="000000" w:themeColor="text1"/>
          <w:sz w:val="23"/>
          <w:szCs w:val="23"/>
        </w:rPr>
        <w:t>ci</w:t>
      </w:r>
      <w:r w:rsidR="1EA22807" w:rsidRPr="6CB76B80">
        <w:rPr>
          <w:rFonts w:ascii="Arial" w:eastAsia="Arial" w:hAnsi="Arial" w:cs="Arial"/>
          <w:color w:val="000000" w:themeColor="text1"/>
          <w:sz w:val="23"/>
          <w:szCs w:val="23"/>
        </w:rPr>
        <w:t>ona</w:t>
      </w:r>
      <w:r w:rsidR="002A266D" w:rsidRPr="6CB76B80">
        <w:rPr>
          <w:rFonts w:ascii="Arial" w:eastAsia="Arial" w:hAnsi="Arial" w:cs="Arial"/>
          <w:color w:val="000000" w:themeColor="text1"/>
          <w:sz w:val="23"/>
          <w:szCs w:val="23"/>
        </w:rPr>
        <w:t xml:space="preserve"> el literal I en el numeral </w:t>
      </w:r>
      <w:r w:rsidR="002A266D" w:rsidRPr="6CB76B80">
        <w:rPr>
          <w:rFonts w:ascii="Arial" w:eastAsia="Arial" w:hAnsi="Arial" w:cs="Arial"/>
          <w:i/>
          <w:iCs/>
          <w:color w:val="000000" w:themeColor="text1"/>
          <w:sz w:val="23"/>
          <w:szCs w:val="23"/>
        </w:rPr>
        <w:t>«3</w:t>
      </w:r>
      <w:r w:rsidR="004A10A6" w:rsidRPr="6CB76B80">
        <w:rPr>
          <w:rFonts w:ascii="Arial" w:eastAsia="Arial" w:hAnsi="Arial" w:cs="Arial"/>
          <w:i/>
          <w:iCs/>
          <w:color w:val="000000" w:themeColor="text1"/>
          <w:sz w:val="23"/>
          <w:szCs w:val="23"/>
        </w:rPr>
        <w:t>.</w:t>
      </w:r>
      <w:r w:rsidR="002A266D" w:rsidRPr="6CB76B80">
        <w:rPr>
          <w:rFonts w:ascii="Arial" w:eastAsia="Arial" w:hAnsi="Arial" w:cs="Arial"/>
          <w:i/>
          <w:iCs/>
          <w:color w:val="000000" w:themeColor="text1"/>
          <w:sz w:val="23"/>
          <w:szCs w:val="23"/>
        </w:rPr>
        <w:t>5</w:t>
      </w:r>
      <w:r w:rsidR="004A10A6" w:rsidRPr="6CB76B80">
        <w:rPr>
          <w:rFonts w:ascii="Arial" w:eastAsia="Arial" w:hAnsi="Arial" w:cs="Arial"/>
          <w:i/>
          <w:iCs/>
          <w:color w:val="000000" w:themeColor="text1"/>
          <w:sz w:val="23"/>
          <w:szCs w:val="23"/>
        </w:rPr>
        <w:t>.</w:t>
      </w:r>
      <w:r w:rsidR="002A266D" w:rsidRPr="6CB76B80">
        <w:rPr>
          <w:rFonts w:ascii="Arial" w:eastAsia="Arial" w:hAnsi="Arial" w:cs="Arial"/>
          <w:i/>
          <w:iCs/>
          <w:color w:val="000000" w:themeColor="text1"/>
          <w:sz w:val="23"/>
          <w:szCs w:val="23"/>
        </w:rPr>
        <w:t xml:space="preserve">3 </w:t>
      </w:r>
      <w:r w:rsidR="004A10A6" w:rsidRPr="6CB76B80">
        <w:rPr>
          <w:rFonts w:ascii="Arial" w:eastAsia="Arial" w:hAnsi="Arial" w:cs="Arial"/>
          <w:i/>
          <w:iCs/>
          <w:color w:val="000000" w:themeColor="text1"/>
          <w:sz w:val="23"/>
          <w:szCs w:val="23"/>
        </w:rPr>
        <w:t>Consideraciones para la validez de la experiencia requerida</w:t>
      </w:r>
      <w:r w:rsidR="00BB4499" w:rsidRPr="6CB76B80">
        <w:rPr>
          <w:rFonts w:ascii="Arial" w:eastAsia="Arial" w:hAnsi="Arial" w:cs="Arial"/>
          <w:i/>
          <w:iCs/>
          <w:color w:val="000000" w:themeColor="text1"/>
          <w:sz w:val="23"/>
          <w:szCs w:val="23"/>
        </w:rPr>
        <w:t>»</w:t>
      </w:r>
      <w:r w:rsidR="00BB4499" w:rsidRPr="6CB76B80">
        <w:rPr>
          <w:rFonts w:ascii="Arial" w:eastAsia="Arial" w:hAnsi="Arial" w:cs="Arial"/>
          <w:color w:val="000000" w:themeColor="text1"/>
          <w:sz w:val="23"/>
          <w:szCs w:val="23"/>
        </w:rPr>
        <w:t xml:space="preserve"> para </w:t>
      </w:r>
      <w:r w:rsidR="00B21939" w:rsidRPr="6CB76B80">
        <w:rPr>
          <w:rFonts w:ascii="Arial" w:eastAsia="Arial" w:hAnsi="Arial" w:cs="Arial"/>
          <w:color w:val="000000" w:themeColor="text1"/>
          <w:sz w:val="23"/>
          <w:szCs w:val="23"/>
        </w:rPr>
        <w:t xml:space="preserve">los proyectos de concesiones viales, </w:t>
      </w:r>
      <w:r w:rsidR="00590AAE" w:rsidRPr="6CB76B80">
        <w:rPr>
          <w:rFonts w:ascii="Arial" w:eastAsia="Arial" w:hAnsi="Arial" w:cs="Arial"/>
          <w:color w:val="000000" w:themeColor="text1"/>
          <w:sz w:val="23"/>
          <w:szCs w:val="23"/>
        </w:rPr>
        <w:t>únicamente</w:t>
      </w:r>
      <w:r w:rsidR="00B21939" w:rsidRPr="6CB76B80">
        <w:rPr>
          <w:rFonts w:ascii="Arial" w:eastAsia="Arial" w:hAnsi="Arial" w:cs="Arial"/>
          <w:color w:val="000000" w:themeColor="text1"/>
          <w:sz w:val="23"/>
          <w:szCs w:val="23"/>
        </w:rPr>
        <w:t xml:space="preserve"> se tendrá </w:t>
      </w:r>
      <w:r w:rsidR="00590AAE" w:rsidRPr="6CB76B80">
        <w:rPr>
          <w:rFonts w:ascii="Arial" w:eastAsia="Arial" w:hAnsi="Arial" w:cs="Arial"/>
          <w:color w:val="000000" w:themeColor="text1"/>
          <w:sz w:val="23"/>
          <w:szCs w:val="23"/>
        </w:rPr>
        <w:t>en cuenta la etapa co</w:t>
      </w:r>
      <w:r w:rsidR="00282E5B" w:rsidRPr="6CB76B80">
        <w:rPr>
          <w:rFonts w:ascii="Arial" w:eastAsia="Arial" w:hAnsi="Arial" w:cs="Arial"/>
          <w:color w:val="000000" w:themeColor="text1"/>
          <w:sz w:val="23"/>
          <w:szCs w:val="23"/>
        </w:rPr>
        <w:t>nstructi</w:t>
      </w:r>
      <w:r w:rsidR="007108E4" w:rsidRPr="6CB76B80">
        <w:rPr>
          <w:rFonts w:ascii="Arial" w:eastAsia="Arial" w:hAnsi="Arial" w:cs="Arial"/>
          <w:color w:val="000000" w:themeColor="text1"/>
          <w:sz w:val="23"/>
          <w:szCs w:val="23"/>
        </w:rPr>
        <w:t xml:space="preserve">va y/o de intervención </w:t>
      </w:r>
      <w:r w:rsidR="00041F60" w:rsidRPr="6CB76B80">
        <w:rPr>
          <w:rFonts w:ascii="Arial" w:eastAsia="Arial" w:hAnsi="Arial" w:cs="Arial"/>
          <w:color w:val="000000" w:themeColor="text1"/>
          <w:sz w:val="23"/>
          <w:szCs w:val="23"/>
        </w:rPr>
        <w:t>de la obra de infraestructura de transporte</w:t>
      </w:r>
      <w:r w:rsidR="00235F29" w:rsidRPr="6CB76B80">
        <w:rPr>
          <w:rFonts w:ascii="Arial" w:eastAsia="Arial" w:hAnsi="Arial" w:cs="Arial"/>
          <w:color w:val="000000" w:themeColor="text1"/>
          <w:sz w:val="23"/>
          <w:szCs w:val="23"/>
        </w:rPr>
        <w:t>. De este modo, no será válida la experiencia para la etapa de operación</w:t>
      </w:r>
      <w:r w:rsidR="005A0C81" w:rsidRPr="6CB76B80">
        <w:rPr>
          <w:rFonts w:ascii="Arial" w:eastAsia="Arial" w:hAnsi="Arial" w:cs="Arial"/>
          <w:color w:val="000000" w:themeColor="text1"/>
          <w:sz w:val="23"/>
          <w:szCs w:val="23"/>
        </w:rPr>
        <w:t xml:space="preserve">, </w:t>
      </w:r>
      <w:r w:rsidR="00235F29" w:rsidRPr="6CB76B80">
        <w:rPr>
          <w:rFonts w:ascii="Arial" w:eastAsia="Arial" w:hAnsi="Arial" w:cs="Arial"/>
          <w:color w:val="000000" w:themeColor="text1"/>
          <w:sz w:val="23"/>
          <w:szCs w:val="23"/>
        </w:rPr>
        <w:t xml:space="preserve">administración </w:t>
      </w:r>
      <w:r w:rsidR="005A0C81" w:rsidRPr="6CB76B80">
        <w:rPr>
          <w:rFonts w:ascii="Arial" w:eastAsia="Arial" w:hAnsi="Arial" w:cs="Arial"/>
          <w:color w:val="000000" w:themeColor="text1"/>
          <w:sz w:val="23"/>
          <w:szCs w:val="23"/>
        </w:rPr>
        <w:t xml:space="preserve">y/o mantenimiento de la infraestructura concesionada. </w:t>
      </w:r>
    </w:p>
    <w:p w14:paraId="3852E491" w14:textId="77777777" w:rsidR="005A0C81" w:rsidRDefault="005A0C81" w:rsidP="00813D69">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5850EC0E" w14:textId="03AE94B7" w:rsidR="009F049C" w:rsidRDefault="00A83064" w:rsidP="6CB76B80">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De igual manera, </w:t>
      </w:r>
      <w:r w:rsidR="00234205" w:rsidRPr="6CB76B80">
        <w:rPr>
          <w:rFonts w:ascii="Arial" w:eastAsia="Arial" w:hAnsi="Arial" w:cs="Arial"/>
          <w:color w:val="000000" w:themeColor="text1"/>
          <w:sz w:val="23"/>
          <w:szCs w:val="23"/>
        </w:rPr>
        <w:t>en el artículo 2</w:t>
      </w:r>
      <w:r w:rsidR="008B6109" w:rsidRPr="6CB76B80">
        <w:rPr>
          <w:rFonts w:ascii="Arial" w:eastAsia="Arial" w:hAnsi="Arial" w:cs="Arial"/>
          <w:color w:val="000000" w:themeColor="text1"/>
          <w:sz w:val="23"/>
          <w:szCs w:val="23"/>
        </w:rPr>
        <w:t>4</w:t>
      </w:r>
      <w:r w:rsidR="00234205" w:rsidRPr="6CB76B80">
        <w:rPr>
          <w:rFonts w:ascii="Arial" w:eastAsia="Arial" w:hAnsi="Arial" w:cs="Arial"/>
          <w:color w:val="000000" w:themeColor="text1"/>
          <w:sz w:val="23"/>
          <w:szCs w:val="23"/>
        </w:rPr>
        <w:t xml:space="preserve"> del numeral </w:t>
      </w:r>
      <w:r w:rsidR="00D017FB" w:rsidRPr="6CB76B80">
        <w:rPr>
          <w:rFonts w:ascii="Arial" w:eastAsia="Arial" w:hAnsi="Arial" w:cs="Arial"/>
          <w:color w:val="000000" w:themeColor="text1"/>
          <w:sz w:val="23"/>
          <w:szCs w:val="23"/>
        </w:rPr>
        <w:t>«</w:t>
      </w:r>
      <w:r w:rsidR="0077072A" w:rsidRPr="6CB76B80">
        <w:rPr>
          <w:rFonts w:ascii="Arial" w:eastAsia="Arial" w:hAnsi="Arial" w:cs="Arial"/>
          <w:i/>
          <w:iCs/>
          <w:color w:val="000000" w:themeColor="text1"/>
          <w:sz w:val="23"/>
          <w:szCs w:val="23"/>
        </w:rPr>
        <w:t>3.5.7</w:t>
      </w:r>
      <w:r w:rsidR="00D017FB" w:rsidRPr="6CB76B80">
        <w:rPr>
          <w:rFonts w:ascii="Arial" w:eastAsia="Arial" w:hAnsi="Arial" w:cs="Arial"/>
          <w:i/>
          <w:iCs/>
          <w:color w:val="000000" w:themeColor="text1"/>
          <w:sz w:val="23"/>
          <w:szCs w:val="23"/>
        </w:rPr>
        <w:t>.</w:t>
      </w:r>
      <w:r w:rsidR="0077072A" w:rsidRPr="6CB76B80">
        <w:rPr>
          <w:rFonts w:ascii="Arial" w:eastAsia="Arial" w:hAnsi="Arial" w:cs="Arial"/>
          <w:i/>
          <w:iCs/>
          <w:color w:val="000000" w:themeColor="text1"/>
          <w:sz w:val="23"/>
          <w:szCs w:val="23"/>
        </w:rPr>
        <w:t xml:space="preserve"> </w:t>
      </w:r>
      <w:r w:rsidR="00D017FB" w:rsidRPr="6CB76B80">
        <w:rPr>
          <w:rFonts w:ascii="Arial" w:eastAsia="Arial" w:hAnsi="Arial" w:cs="Arial"/>
          <w:i/>
          <w:iCs/>
          <w:color w:val="000000" w:themeColor="text1"/>
          <w:sz w:val="23"/>
          <w:szCs w:val="23"/>
        </w:rPr>
        <w:t>Para subcontratos»</w:t>
      </w:r>
      <w:r w:rsidR="00386212" w:rsidRPr="6CB76B80">
        <w:rPr>
          <w:rFonts w:ascii="Arial" w:eastAsia="Arial" w:hAnsi="Arial" w:cs="Arial"/>
          <w:i/>
          <w:iCs/>
          <w:color w:val="000000" w:themeColor="text1"/>
          <w:sz w:val="23"/>
          <w:szCs w:val="23"/>
        </w:rPr>
        <w:t xml:space="preserve"> </w:t>
      </w:r>
      <w:r w:rsidR="00386212" w:rsidRPr="6CB76B80">
        <w:rPr>
          <w:rFonts w:ascii="Arial" w:eastAsia="Arial" w:hAnsi="Arial" w:cs="Arial"/>
          <w:color w:val="000000" w:themeColor="text1"/>
          <w:sz w:val="23"/>
          <w:szCs w:val="23"/>
        </w:rPr>
        <w:t>de los documentos tipo de obra pública de infraestructura de transporte adelantados bajo la modalidad de licitación pública –Versión 3–, ,la modalidad de selección abreviada de menor cuantía –Versión 2–</w:t>
      </w:r>
      <w:r w:rsidR="00F13192">
        <w:rPr>
          <w:rFonts w:ascii="Arial" w:eastAsia="Arial" w:hAnsi="Arial" w:cs="Arial"/>
          <w:color w:val="000000" w:themeColor="text1"/>
          <w:sz w:val="23"/>
          <w:szCs w:val="23"/>
        </w:rPr>
        <w:t xml:space="preserve"> </w:t>
      </w:r>
      <w:r w:rsidR="00386212" w:rsidRPr="6CB76B80">
        <w:rPr>
          <w:rFonts w:ascii="Arial" w:eastAsia="Arial" w:hAnsi="Arial" w:cs="Arial"/>
          <w:color w:val="000000" w:themeColor="text1"/>
          <w:sz w:val="23"/>
          <w:szCs w:val="23"/>
        </w:rPr>
        <w:t xml:space="preserve">y de los documentos tipo de obra pública para proyectos de agua potable y saneamiento básico adelantados bajo la modalidad de licitación pública y los de la modalidad de llave en mano, </w:t>
      </w:r>
      <w:r w:rsidR="00E86423" w:rsidRPr="6CB76B80">
        <w:rPr>
          <w:rFonts w:ascii="Arial" w:eastAsia="Arial" w:hAnsi="Arial" w:cs="Arial"/>
          <w:color w:val="000000" w:themeColor="text1"/>
          <w:sz w:val="23"/>
          <w:szCs w:val="23"/>
        </w:rPr>
        <w:t xml:space="preserve">para </w:t>
      </w:r>
      <w:r w:rsidR="00D07A33" w:rsidRPr="6CB76B80">
        <w:rPr>
          <w:rFonts w:ascii="Arial" w:eastAsia="Arial" w:hAnsi="Arial" w:cs="Arial"/>
          <w:color w:val="000000" w:themeColor="text1"/>
          <w:sz w:val="23"/>
          <w:szCs w:val="23"/>
        </w:rPr>
        <w:t xml:space="preserve">solicitar </w:t>
      </w:r>
      <w:r w:rsidR="0002240C" w:rsidRPr="6CB76B80">
        <w:rPr>
          <w:rFonts w:ascii="Arial" w:eastAsia="Arial" w:hAnsi="Arial" w:cs="Arial"/>
          <w:color w:val="000000" w:themeColor="text1"/>
          <w:sz w:val="23"/>
          <w:szCs w:val="23"/>
        </w:rPr>
        <w:t>copia de la garantía única derivada del subcontrato, en los casos que</w:t>
      </w:r>
      <w:r w:rsidR="009A70BA" w:rsidRPr="6CB76B80">
        <w:rPr>
          <w:rFonts w:ascii="Arial" w:eastAsia="Arial" w:hAnsi="Arial" w:cs="Arial"/>
          <w:color w:val="000000" w:themeColor="text1"/>
          <w:sz w:val="23"/>
          <w:szCs w:val="23"/>
        </w:rPr>
        <w:t xml:space="preserve"> exista, para acreditar la experiencia de </w:t>
      </w:r>
      <w:r w:rsidR="00EE09CF" w:rsidRPr="6CB76B80">
        <w:rPr>
          <w:rFonts w:ascii="Arial" w:eastAsia="Arial" w:hAnsi="Arial" w:cs="Arial"/>
          <w:color w:val="000000" w:themeColor="text1"/>
          <w:sz w:val="23"/>
          <w:szCs w:val="23"/>
        </w:rPr>
        <w:t>los contratos derivados de contratos suscritos con entidades estatales</w:t>
      </w:r>
      <w:r w:rsidR="009F049C" w:rsidRPr="6CB76B80">
        <w:rPr>
          <w:rFonts w:ascii="Arial" w:eastAsia="Arial" w:hAnsi="Arial" w:cs="Arial"/>
          <w:color w:val="000000" w:themeColor="text1"/>
          <w:sz w:val="23"/>
          <w:szCs w:val="23"/>
        </w:rPr>
        <w:t xml:space="preserve">. </w:t>
      </w:r>
    </w:p>
    <w:p w14:paraId="533DF586" w14:textId="77777777" w:rsidR="009F049C" w:rsidRDefault="009F049C" w:rsidP="00813D69">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lang w:val="es-ES_tradnl"/>
        </w:rPr>
      </w:pPr>
    </w:p>
    <w:p w14:paraId="091A7749" w14:textId="110AEEC1" w:rsidR="00210577" w:rsidRDefault="00407C85">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r>
        <w:rPr>
          <w:rFonts w:ascii="Arial" w:eastAsia="Arial" w:hAnsi="Arial" w:cs="Arial"/>
          <w:color w:val="000000"/>
          <w:sz w:val="23"/>
          <w:szCs w:val="23"/>
        </w:rPr>
        <w:t>Por su parte, el artículo 2</w:t>
      </w:r>
      <w:r w:rsidR="008B6109">
        <w:rPr>
          <w:rFonts w:ascii="Arial" w:eastAsia="Arial" w:hAnsi="Arial" w:cs="Arial"/>
          <w:color w:val="000000"/>
          <w:sz w:val="23"/>
          <w:szCs w:val="23"/>
        </w:rPr>
        <w:t>5</w:t>
      </w:r>
      <w:r>
        <w:rPr>
          <w:rFonts w:ascii="Arial" w:eastAsia="Arial" w:hAnsi="Arial" w:cs="Arial"/>
          <w:color w:val="000000"/>
          <w:sz w:val="23"/>
          <w:szCs w:val="23"/>
        </w:rPr>
        <w:t xml:space="preserve"> modifica el </w:t>
      </w:r>
      <w:r w:rsidR="004A236D">
        <w:rPr>
          <w:rFonts w:ascii="Arial" w:eastAsia="Arial" w:hAnsi="Arial" w:cs="Arial"/>
          <w:color w:val="000000"/>
          <w:sz w:val="23"/>
          <w:szCs w:val="23"/>
        </w:rPr>
        <w:t xml:space="preserve">numeral </w:t>
      </w:r>
      <w:r w:rsidR="004A236D" w:rsidRPr="007B6038">
        <w:rPr>
          <w:rFonts w:ascii="Arial" w:eastAsia="Arial" w:hAnsi="Arial" w:cs="Arial"/>
          <w:i/>
          <w:iCs/>
          <w:color w:val="000000"/>
          <w:sz w:val="23"/>
          <w:szCs w:val="23"/>
        </w:rPr>
        <w:t>«10.1.6</w:t>
      </w:r>
      <w:r w:rsidR="003C3FC8" w:rsidRPr="007B6038">
        <w:rPr>
          <w:rFonts w:ascii="Arial" w:eastAsia="Arial" w:hAnsi="Arial" w:cs="Arial"/>
          <w:i/>
          <w:iCs/>
          <w:color w:val="000000"/>
          <w:sz w:val="23"/>
          <w:szCs w:val="23"/>
        </w:rPr>
        <w:t xml:space="preserve"> Para </w:t>
      </w:r>
      <w:r w:rsidR="00EC2A68" w:rsidRPr="007B6038">
        <w:rPr>
          <w:rFonts w:ascii="Arial" w:eastAsia="Arial" w:hAnsi="Arial" w:cs="Arial"/>
          <w:i/>
          <w:iCs/>
          <w:color w:val="000000"/>
          <w:sz w:val="23"/>
          <w:szCs w:val="23"/>
        </w:rPr>
        <w:t>subcontratos</w:t>
      </w:r>
      <w:r w:rsidR="00825285" w:rsidRPr="007B6038">
        <w:rPr>
          <w:rFonts w:ascii="Arial" w:eastAsia="Arial" w:hAnsi="Arial" w:cs="Arial"/>
          <w:i/>
          <w:iCs/>
          <w:color w:val="000000"/>
          <w:sz w:val="23"/>
          <w:szCs w:val="23"/>
        </w:rPr>
        <w:t>»</w:t>
      </w:r>
      <w:r w:rsidR="00E33665" w:rsidRPr="007B6038">
        <w:rPr>
          <w:rFonts w:ascii="Arial" w:eastAsia="Arial" w:hAnsi="Arial" w:cs="Arial"/>
          <w:i/>
          <w:iCs/>
          <w:color w:val="000000"/>
          <w:sz w:val="23"/>
          <w:szCs w:val="23"/>
        </w:rPr>
        <w:t xml:space="preserve"> </w:t>
      </w:r>
      <w:r w:rsidR="00E33665">
        <w:rPr>
          <w:rFonts w:ascii="Arial" w:eastAsia="Arial" w:hAnsi="Arial" w:cs="Arial"/>
          <w:color w:val="000000"/>
          <w:sz w:val="23"/>
          <w:szCs w:val="23"/>
        </w:rPr>
        <w:t xml:space="preserve">del documento tipo de interventoría de obra pública de infraestructura de transporte, para incluir la exigencia de aportar la copia de la garantía única derivada del subcontrato, en los casos que exista, para acreditar la experiencia de los </w:t>
      </w:r>
      <w:r w:rsidR="00102798">
        <w:rPr>
          <w:rFonts w:ascii="Arial" w:eastAsia="Arial" w:hAnsi="Arial" w:cs="Arial"/>
          <w:color w:val="000000"/>
          <w:sz w:val="23"/>
          <w:szCs w:val="23"/>
        </w:rPr>
        <w:t xml:space="preserve">contratos derivados de contratos suscritos con entidades estatales. </w:t>
      </w:r>
    </w:p>
    <w:p w14:paraId="3173845D" w14:textId="77777777" w:rsidR="00F13192" w:rsidRDefault="00F13192">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01DA42F8" w14:textId="58BB6811" w:rsidR="00F13192" w:rsidRPr="00DD1B72" w:rsidRDefault="003921F1" w:rsidP="1D9DC35E">
      <w:pPr>
        <w:pStyle w:val="Normal0"/>
        <w:pBdr>
          <w:top w:val="nil"/>
          <w:left w:val="nil"/>
          <w:bottom w:val="nil"/>
          <w:right w:val="nil"/>
          <w:between w:val="nil"/>
        </w:pBdr>
        <w:shd w:val="clear" w:color="auto" w:fill="FFFFFF" w:themeFill="background1"/>
        <w:tabs>
          <w:tab w:val="left" w:pos="1134"/>
        </w:tabs>
        <w:spacing w:after="0" w:line="240" w:lineRule="auto"/>
        <w:jc w:val="both"/>
        <w:rPr>
          <w:rFonts w:ascii="Arial" w:eastAsia="Arial" w:hAnsi="Arial" w:cs="Arial"/>
          <w:color w:val="000000"/>
          <w:sz w:val="23"/>
          <w:szCs w:val="23"/>
        </w:rPr>
      </w:pPr>
      <w:r w:rsidRPr="1D9DC35E">
        <w:rPr>
          <w:rFonts w:ascii="Arial" w:eastAsia="Arial" w:hAnsi="Arial" w:cs="Arial"/>
          <w:color w:val="000000" w:themeColor="text1"/>
          <w:sz w:val="23"/>
          <w:szCs w:val="23"/>
        </w:rPr>
        <w:t xml:space="preserve">De igual manera, el artículo 26 modifica el </w:t>
      </w:r>
      <w:r w:rsidR="00EE7515" w:rsidRPr="1D9DC35E">
        <w:rPr>
          <w:rFonts w:ascii="Arial" w:eastAsia="Arial" w:hAnsi="Arial" w:cs="Arial"/>
          <w:color w:val="000000" w:themeColor="text1"/>
          <w:sz w:val="23"/>
          <w:szCs w:val="23"/>
        </w:rPr>
        <w:t xml:space="preserve">numeral </w:t>
      </w:r>
      <w:r w:rsidR="00EE7515" w:rsidRPr="00542376">
        <w:rPr>
          <w:rFonts w:ascii="Arial" w:eastAsia="Arial" w:hAnsi="Arial" w:cs="Arial"/>
          <w:i/>
          <w:iCs/>
          <w:color w:val="000000" w:themeColor="text1"/>
          <w:sz w:val="23"/>
          <w:szCs w:val="23"/>
        </w:rPr>
        <w:t>«4.5.5 Para subcontratos</w:t>
      </w:r>
      <w:r w:rsidR="00EE7515" w:rsidRPr="1D9DC35E">
        <w:rPr>
          <w:rFonts w:ascii="Arial" w:eastAsia="Arial" w:hAnsi="Arial" w:cs="Arial"/>
          <w:color w:val="000000" w:themeColor="text1"/>
          <w:sz w:val="23"/>
          <w:szCs w:val="23"/>
        </w:rPr>
        <w:t xml:space="preserve">» de la Invitación de los documentos tipo de obra pública de infraestructura de transporte adelantados bajo la modalidad de mínima cuantía para solicitar </w:t>
      </w:r>
      <w:r w:rsidR="222C8AD8" w:rsidRPr="1D9DC35E">
        <w:rPr>
          <w:rFonts w:ascii="Arial" w:eastAsia="Arial" w:hAnsi="Arial" w:cs="Arial"/>
          <w:color w:val="000000" w:themeColor="text1"/>
          <w:sz w:val="23"/>
          <w:szCs w:val="23"/>
        </w:rPr>
        <w:t xml:space="preserve">que </w:t>
      </w:r>
      <w:r w:rsidR="00EE7515" w:rsidRPr="1D9DC35E">
        <w:rPr>
          <w:rFonts w:ascii="Arial" w:eastAsia="Arial" w:hAnsi="Arial" w:cs="Arial"/>
          <w:color w:val="000000" w:themeColor="text1"/>
          <w:sz w:val="23"/>
          <w:szCs w:val="23"/>
        </w:rPr>
        <w:t xml:space="preserve">en estos procesos de contratación </w:t>
      </w:r>
      <w:r w:rsidR="62EFD2CF" w:rsidRPr="0E6E4AFD">
        <w:rPr>
          <w:rFonts w:ascii="Arial" w:eastAsia="Arial" w:hAnsi="Arial" w:cs="Arial"/>
          <w:color w:val="000000" w:themeColor="text1"/>
          <w:sz w:val="23"/>
          <w:szCs w:val="23"/>
        </w:rPr>
        <w:t>se pida</w:t>
      </w:r>
      <w:r w:rsidR="732254C0" w:rsidRPr="6978A9DF">
        <w:rPr>
          <w:rFonts w:ascii="Arial" w:eastAsia="Arial" w:hAnsi="Arial" w:cs="Arial"/>
          <w:color w:val="000000" w:themeColor="text1"/>
          <w:sz w:val="23"/>
          <w:szCs w:val="23"/>
        </w:rPr>
        <w:t>, cuando exista,</w:t>
      </w:r>
      <w:r w:rsidR="62EFD2CF" w:rsidRPr="0E6E4AFD">
        <w:rPr>
          <w:rFonts w:ascii="Arial" w:eastAsia="Arial" w:hAnsi="Arial" w:cs="Arial"/>
          <w:color w:val="000000" w:themeColor="text1"/>
          <w:sz w:val="23"/>
          <w:szCs w:val="23"/>
        </w:rPr>
        <w:t xml:space="preserve"> </w:t>
      </w:r>
      <w:r w:rsidR="00EE7515" w:rsidRPr="1D9DC35E">
        <w:rPr>
          <w:rFonts w:ascii="Arial" w:eastAsia="Arial" w:hAnsi="Arial" w:cs="Arial"/>
          <w:color w:val="000000" w:themeColor="text1"/>
          <w:sz w:val="23"/>
          <w:szCs w:val="23"/>
        </w:rPr>
        <w:t>copia de la garantía derivada del subcontrato</w:t>
      </w:r>
      <w:r w:rsidR="4CDBA5F2" w:rsidRPr="6978A9DF">
        <w:rPr>
          <w:rFonts w:ascii="Arial" w:eastAsia="Arial" w:hAnsi="Arial" w:cs="Arial"/>
          <w:color w:val="000000" w:themeColor="text1"/>
          <w:sz w:val="23"/>
          <w:szCs w:val="23"/>
        </w:rPr>
        <w:t xml:space="preserve"> presentado</w:t>
      </w:r>
      <w:r w:rsidR="63D818DF" w:rsidRPr="6978A9DF">
        <w:rPr>
          <w:rFonts w:ascii="Arial" w:eastAsia="Arial" w:hAnsi="Arial" w:cs="Arial"/>
          <w:color w:val="000000" w:themeColor="text1"/>
          <w:sz w:val="23"/>
          <w:szCs w:val="23"/>
        </w:rPr>
        <w:t>.</w:t>
      </w:r>
      <w:r w:rsidR="00EE7515" w:rsidRPr="1D9DC35E">
        <w:rPr>
          <w:rFonts w:ascii="Arial" w:eastAsia="Arial" w:hAnsi="Arial" w:cs="Arial"/>
          <w:color w:val="000000" w:themeColor="text1"/>
          <w:sz w:val="23"/>
          <w:szCs w:val="23"/>
        </w:rPr>
        <w:t xml:space="preserve"> </w:t>
      </w:r>
    </w:p>
    <w:p w14:paraId="7C6CA20C" w14:textId="77777777" w:rsidR="00C42661" w:rsidRPr="00DD1B72" w:rsidRDefault="00C42661">
      <w:pPr>
        <w:pStyle w:val="Normal0"/>
        <w:pBdr>
          <w:top w:val="nil"/>
          <w:left w:val="nil"/>
          <w:bottom w:val="nil"/>
          <w:right w:val="nil"/>
          <w:between w:val="nil"/>
        </w:pBdr>
        <w:shd w:val="clear" w:color="auto" w:fill="FFFFFF"/>
        <w:tabs>
          <w:tab w:val="left" w:pos="1134"/>
        </w:tabs>
        <w:spacing w:after="0" w:line="240" w:lineRule="auto"/>
        <w:jc w:val="both"/>
        <w:rPr>
          <w:rFonts w:ascii="Arial" w:eastAsia="Arial" w:hAnsi="Arial" w:cs="Arial"/>
          <w:color w:val="000000"/>
          <w:sz w:val="23"/>
          <w:szCs w:val="23"/>
        </w:rPr>
      </w:pPr>
    </w:p>
    <w:p w14:paraId="72C26C82" w14:textId="370EE1A5" w:rsidR="001242BF" w:rsidRDefault="00D21D09" w:rsidP="00506590">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color w:val="000000"/>
          <w:sz w:val="23"/>
          <w:szCs w:val="23"/>
        </w:rPr>
      </w:pPr>
      <w:r w:rsidRPr="6CB76B80">
        <w:rPr>
          <w:rFonts w:ascii="Arial" w:eastAsia="Arial" w:hAnsi="Arial" w:cs="Arial"/>
          <w:color w:val="000000" w:themeColor="text1"/>
          <w:sz w:val="23"/>
          <w:szCs w:val="23"/>
        </w:rPr>
        <w:t xml:space="preserve">Finalmente, el </w:t>
      </w:r>
      <w:r w:rsidR="000E13F1" w:rsidRPr="6CB76B80">
        <w:rPr>
          <w:rFonts w:ascii="Arial" w:eastAsia="Arial" w:hAnsi="Arial" w:cs="Arial"/>
          <w:color w:val="000000" w:themeColor="text1"/>
          <w:sz w:val="23"/>
          <w:szCs w:val="23"/>
        </w:rPr>
        <w:t>artículo 2</w:t>
      </w:r>
      <w:r w:rsidR="00F13192">
        <w:rPr>
          <w:rFonts w:ascii="Arial" w:eastAsia="Arial" w:hAnsi="Arial" w:cs="Arial"/>
          <w:color w:val="000000" w:themeColor="text1"/>
          <w:sz w:val="23"/>
          <w:szCs w:val="23"/>
        </w:rPr>
        <w:t>7</w:t>
      </w:r>
      <w:r w:rsidR="73EEFF99" w:rsidRPr="6CB76B80">
        <w:rPr>
          <w:rFonts w:ascii="Arial" w:eastAsia="Arial" w:hAnsi="Arial" w:cs="Arial"/>
          <w:color w:val="000000" w:themeColor="text1"/>
          <w:sz w:val="23"/>
          <w:szCs w:val="23"/>
        </w:rPr>
        <w:t xml:space="preserve">de la Resolución en comento </w:t>
      </w:r>
      <w:r w:rsidR="000E13F1" w:rsidRPr="6CB76B80">
        <w:rPr>
          <w:rFonts w:ascii="Arial" w:eastAsia="Arial" w:hAnsi="Arial" w:cs="Arial"/>
          <w:color w:val="000000" w:themeColor="text1"/>
          <w:sz w:val="23"/>
          <w:szCs w:val="23"/>
        </w:rPr>
        <w:t xml:space="preserve">define el momento a partir </w:t>
      </w:r>
      <w:r w:rsidR="62447CDB" w:rsidRPr="6CB76B80">
        <w:rPr>
          <w:rFonts w:ascii="Arial" w:eastAsia="Arial" w:hAnsi="Arial" w:cs="Arial"/>
          <w:color w:val="000000" w:themeColor="text1"/>
          <w:sz w:val="23"/>
          <w:szCs w:val="23"/>
        </w:rPr>
        <w:t>d</w:t>
      </w:r>
      <w:r w:rsidR="5F7800BE" w:rsidRPr="6CB76B80">
        <w:rPr>
          <w:rFonts w:ascii="Arial" w:eastAsia="Arial" w:hAnsi="Arial" w:cs="Arial"/>
          <w:color w:val="000000" w:themeColor="text1"/>
          <w:sz w:val="23"/>
          <w:szCs w:val="23"/>
        </w:rPr>
        <w:t>el</w:t>
      </w:r>
      <w:r w:rsidR="000E13F1" w:rsidRPr="6CB76B80">
        <w:rPr>
          <w:rFonts w:ascii="Arial" w:eastAsia="Arial" w:hAnsi="Arial" w:cs="Arial"/>
          <w:color w:val="000000" w:themeColor="text1"/>
          <w:sz w:val="23"/>
          <w:szCs w:val="23"/>
        </w:rPr>
        <w:t xml:space="preserve"> cual es obligatoria</w:t>
      </w:r>
      <w:r w:rsidR="00AB2BBE" w:rsidRPr="6CB76B80">
        <w:rPr>
          <w:rFonts w:ascii="Arial" w:eastAsia="Arial" w:hAnsi="Arial" w:cs="Arial"/>
          <w:color w:val="000000" w:themeColor="text1"/>
          <w:sz w:val="23"/>
          <w:szCs w:val="23"/>
        </w:rPr>
        <w:t xml:space="preserve"> señalando que esta </w:t>
      </w:r>
      <w:r w:rsidR="000E13F1" w:rsidRPr="6CB76B80">
        <w:rPr>
          <w:rFonts w:ascii="Arial" w:eastAsia="Arial" w:hAnsi="Arial" w:cs="Arial"/>
          <w:color w:val="000000" w:themeColor="text1"/>
          <w:sz w:val="23"/>
          <w:szCs w:val="23"/>
        </w:rPr>
        <w:t xml:space="preserve">resolución </w:t>
      </w:r>
      <w:r w:rsidR="00AB2BBE" w:rsidRPr="6CB76B80">
        <w:rPr>
          <w:rFonts w:ascii="Arial" w:eastAsia="Arial" w:hAnsi="Arial" w:cs="Arial"/>
          <w:color w:val="000000" w:themeColor="text1"/>
          <w:sz w:val="23"/>
          <w:szCs w:val="23"/>
        </w:rPr>
        <w:t>rige a partir de su publicación y aplica a los procesos de contratación cuyo aviso de convocatoria sea publicado con posterioridad a la ex</w:t>
      </w:r>
      <w:r w:rsidR="00A83795" w:rsidRPr="6CB76B80">
        <w:rPr>
          <w:rFonts w:ascii="Arial" w:eastAsia="Arial" w:hAnsi="Arial" w:cs="Arial"/>
          <w:color w:val="000000" w:themeColor="text1"/>
          <w:sz w:val="23"/>
          <w:szCs w:val="23"/>
        </w:rPr>
        <w:t>pedición de esta resolución.</w:t>
      </w:r>
      <w:r w:rsidR="000E13F1" w:rsidRPr="6CB76B80">
        <w:rPr>
          <w:rFonts w:ascii="Arial" w:eastAsia="Arial" w:hAnsi="Arial" w:cs="Arial"/>
          <w:color w:val="000000" w:themeColor="text1"/>
          <w:sz w:val="23"/>
          <w:szCs w:val="23"/>
        </w:rPr>
        <w:t xml:space="preserve"> </w:t>
      </w:r>
    </w:p>
    <w:p w14:paraId="7F4FB6FC" w14:textId="77777777" w:rsidR="001242BF" w:rsidRDefault="001242BF" w:rsidP="00DD1B72">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color w:val="000000"/>
          <w:sz w:val="23"/>
          <w:szCs w:val="23"/>
        </w:rPr>
      </w:pPr>
    </w:p>
    <w:p w14:paraId="00000049" w14:textId="77777777" w:rsidR="008477E2" w:rsidRDefault="00204519" w:rsidP="00DD1B72">
      <w:pPr>
        <w:pStyle w:val="Normal0"/>
        <w:numPr>
          <w:ilvl w:val="0"/>
          <w:numId w:val="1"/>
        </w:numPr>
        <w:pBdr>
          <w:top w:val="nil"/>
          <w:left w:val="nil"/>
          <w:bottom w:val="nil"/>
          <w:right w:val="nil"/>
          <w:between w:val="nil"/>
        </w:pBdr>
        <w:tabs>
          <w:tab w:val="center" w:pos="4419"/>
          <w:tab w:val="right" w:pos="8838"/>
        </w:tabs>
        <w:spacing w:after="0" w:line="240" w:lineRule="auto"/>
        <w:ind w:right="51"/>
        <w:jc w:val="both"/>
        <w:rPr>
          <w:rFonts w:ascii="Arial" w:eastAsia="Arial" w:hAnsi="Arial" w:cs="Arial"/>
          <w:b/>
          <w:color w:val="000000"/>
          <w:sz w:val="23"/>
          <w:szCs w:val="23"/>
        </w:rPr>
      </w:pPr>
      <w:r>
        <w:rPr>
          <w:rFonts w:ascii="Arial" w:eastAsia="Arial" w:hAnsi="Arial" w:cs="Arial"/>
          <w:b/>
          <w:color w:val="000000"/>
          <w:sz w:val="23"/>
          <w:szCs w:val="23"/>
        </w:rPr>
        <w:t>Cronograma de las modificaciones</w:t>
      </w:r>
    </w:p>
    <w:p w14:paraId="0000004A" w14:textId="77777777" w:rsidR="008477E2" w:rsidRDefault="008477E2" w:rsidP="00DD1B72">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b/>
          <w:color w:val="000000"/>
          <w:sz w:val="23"/>
          <w:szCs w:val="23"/>
        </w:rPr>
      </w:pPr>
    </w:p>
    <w:p w14:paraId="0000004B" w14:textId="3995B553" w:rsidR="008477E2" w:rsidRDefault="00204519" w:rsidP="00DD1B72">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color w:val="000000"/>
          <w:sz w:val="23"/>
          <w:szCs w:val="23"/>
        </w:rPr>
      </w:pPr>
      <w:r>
        <w:rPr>
          <w:rFonts w:ascii="Arial" w:eastAsia="Arial" w:hAnsi="Arial" w:cs="Arial"/>
          <w:color w:val="000000"/>
          <w:sz w:val="23"/>
          <w:szCs w:val="23"/>
        </w:rPr>
        <w:t xml:space="preserve">El artículo 1 de la Ley 2022 de 2020 establece que la Agencia Nacional de Contratación Pública fijará un cronograma y definirá en coordinación con las entidades técnicas o especializadas el procedimiento para implementar los documentos tipo, con el propósito de facilitar la incorporación de estos en el sistema de compra pública. En tal sentido, el siguiente constituye el cronograma </w:t>
      </w:r>
      <w:r w:rsidRPr="00DD1B72">
        <w:rPr>
          <w:rFonts w:ascii="Arial" w:eastAsia="Arial" w:hAnsi="Arial" w:cs="Arial"/>
          <w:color w:val="000000"/>
          <w:sz w:val="23"/>
          <w:szCs w:val="23"/>
        </w:rPr>
        <w:t>para la</w:t>
      </w:r>
      <w:r w:rsidR="00102798" w:rsidRPr="00DD1B72">
        <w:rPr>
          <w:rFonts w:ascii="Arial" w:eastAsia="Arial" w:hAnsi="Arial" w:cs="Arial"/>
          <w:color w:val="000000"/>
          <w:sz w:val="23"/>
          <w:szCs w:val="23"/>
        </w:rPr>
        <w:t xml:space="preserve"> modificación de los documentos tipo adoptados por la Agencia Nacional de Contratación Pública</w:t>
      </w:r>
      <w:r w:rsidRPr="00DD1B72">
        <w:rPr>
          <w:rFonts w:ascii="Arial" w:eastAsia="Arial" w:hAnsi="Arial" w:cs="Arial"/>
          <w:color w:val="000000"/>
          <w:sz w:val="23"/>
          <w:szCs w:val="23"/>
        </w:rPr>
        <w:t>:</w:t>
      </w:r>
      <w:r>
        <w:rPr>
          <w:rFonts w:ascii="Arial" w:eastAsia="Arial" w:hAnsi="Arial" w:cs="Arial"/>
          <w:color w:val="000000"/>
          <w:sz w:val="23"/>
          <w:szCs w:val="23"/>
        </w:rPr>
        <w:t xml:space="preserve"> </w:t>
      </w:r>
    </w:p>
    <w:p w14:paraId="0000004C" w14:textId="77777777" w:rsidR="008477E2" w:rsidRDefault="008477E2" w:rsidP="00DD1B72">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color w:val="000000"/>
          <w:sz w:val="23"/>
          <w:szCs w:val="23"/>
        </w:rPr>
      </w:pPr>
    </w:p>
    <w:p w14:paraId="0000004D" w14:textId="77777777" w:rsidR="008477E2" w:rsidRDefault="008477E2" w:rsidP="00DD1B72">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color w:val="000000"/>
        </w:rPr>
      </w:pPr>
    </w:p>
    <w:tbl>
      <w:tblPr>
        <w:tblW w:w="8500" w:type="dxa"/>
        <w:jc w:val="center"/>
        <w:tblCellMar>
          <w:left w:w="70" w:type="dxa"/>
          <w:right w:w="70" w:type="dxa"/>
        </w:tblCellMar>
        <w:tblLook w:val="04A0" w:firstRow="1" w:lastRow="0" w:firstColumn="1" w:lastColumn="0" w:noHBand="0" w:noVBand="1"/>
      </w:tblPr>
      <w:tblGrid>
        <w:gridCol w:w="753"/>
        <w:gridCol w:w="2219"/>
        <w:gridCol w:w="2499"/>
        <w:gridCol w:w="1443"/>
        <w:gridCol w:w="1586"/>
      </w:tblGrid>
      <w:tr w:rsidR="00BB6912" w:rsidRPr="00CF5A91" w14:paraId="086A9D68" w14:textId="77777777" w:rsidTr="005E2E64">
        <w:trPr>
          <w:trHeight w:val="13"/>
          <w:tblHeader/>
          <w:jc w:val="center"/>
        </w:trPr>
        <w:tc>
          <w:tcPr>
            <w:tcW w:w="850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noWrap/>
            <w:vAlign w:val="center"/>
            <w:hideMark/>
          </w:tcPr>
          <w:p w14:paraId="7FA8C3C0" w14:textId="6A0E9339" w:rsidR="00BB6912" w:rsidRPr="000D4920" w:rsidRDefault="00587CDE" w:rsidP="004A2CF4">
            <w:pPr>
              <w:spacing w:after="0" w:line="240" w:lineRule="auto"/>
              <w:jc w:val="center"/>
              <w:rPr>
                <w:rFonts w:ascii="Arial" w:eastAsia="Arial" w:hAnsi="Arial" w:cs="Arial"/>
                <w:b/>
                <w:bCs/>
                <w:color w:val="000000"/>
                <w:sz w:val="23"/>
                <w:szCs w:val="23"/>
                <w:lang w:val="es-ES"/>
              </w:rPr>
            </w:pPr>
            <w:r w:rsidRPr="000D4920">
              <w:rPr>
                <w:rFonts w:ascii="Arial" w:eastAsia="Arial" w:hAnsi="Arial" w:cs="Arial"/>
                <w:b/>
                <w:bCs/>
                <w:color w:val="000000"/>
                <w:sz w:val="23"/>
                <w:szCs w:val="23"/>
                <w:lang w:val="es-ES"/>
              </w:rPr>
              <w:lastRenderedPageBreak/>
              <w:t>MODIFICACIÓN DE LOS DOCUMENTOS TIPO</w:t>
            </w:r>
          </w:p>
        </w:tc>
      </w:tr>
      <w:tr w:rsidR="00BB6912" w:rsidRPr="00CF5A91" w14:paraId="43695FE8" w14:textId="77777777" w:rsidTr="00B70C47">
        <w:trPr>
          <w:trHeight w:val="476"/>
          <w:tblHeader/>
          <w:jc w:val="center"/>
        </w:trPr>
        <w:tc>
          <w:tcPr>
            <w:tcW w:w="75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14:paraId="7D254D9C" w14:textId="77777777" w:rsidR="00BB6912" w:rsidRPr="000D4920" w:rsidRDefault="00BB6912" w:rsidP="004A2CF4">
            <w:pPr>
              <w:spacing w:after="0" w:line="240" w:lineRule="auto"/>
              <w:jc w:val="center"/>
              <w:rPr>
                <w:rFonts w:ascii="Arial" w:eastAsia="Arial" w:hAnsi="Arial" w:cs="Arial"/>
                <w:b/>
                <w:bCs/>
                <w:color w:val="000000"/>
                <w:sz w:val="23"/>
                <w:szCs w:val="23"/>
                <w:lang w:val="es-ES"/>
              </w:rPr>
            </w:pPr>
            <w:r w:rsidRPr="000D4920">
              <w:rPr>
                <w:rFonts w:ascii="Arial" w:eastAsia="Arial" w:hAnsi="Arial" w:cs="Arial"/>
                <w:b/>
                <w:bCs/>
                <w:color w:val="000000"/>
                <w:sz w:val="23"/>
                <w:szCs w:val="23"/>
                <w:lang w:val="es-ES"/>
              </w:rPr>
              <w:t>No.</w:t>
            </w:r>
          </w:p>
        </w:tc>
        <w:tc>
          <w:tcPr>
            <w:tcW w:w="221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B1F47AB" w14:textId="77777777" w:rsidR="00BB6912" w:rsidRPr="000D4920" w:rsidRDefault="00BB6912" w:rsidP="004A2CF4">
            <w:pPr>
              <w:spacing w:after="0" w:line="240" w:lineRule="auto"/>
              <w:jc w:val="center"/>
              <w:rPr>
                <w:rFonts w:ascii="Arial" w:eastAsia="Arial" w:hAnsi="Arial" w:cs="Arial"/>
                <w:b/>
                <w:bCs/>
                <w:color w:val="000000"/>
                <w:sz w:val="23"/>
                <w:szCs w:val="23"/>
                <w:lang w:val="es-ES"/>
              </w:rPr>
            </w:pPr>
            <w:r w:rsidRPr="000D4920">
              <w:rPr>
                <w:rFonts w:ascii="Arial" w:eastAsia="Arial" w:hAnsi="Arial" w:cs="Arial"/>
                <w:b/>
                <w:bCs/>
                <w:color w:val="000000"/>
                <w:sz w:val="23"/>
                <w:szCs w:val="23"/>
                <w:lang w:val="es-ES"/>
              </w:rPr>
              <w:t>Componentes e hitos</w:t>
            </w:r>
          </w:p>
        </w:tc>
        <w:tc>
          <w:tcPr>
            <w:tcW w:w="2499"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A0D377A" w14:textId="77777777" w:rsidR="00BB6912" w:rsidRPr="000D4920" w:rsidRDefault="00BB6912" w:rsidP="004A2CF4">
            <w:pPr>
              <w:spacing w:after="0" w:line="240" w:lineRule="auto"/>
              <w:jc w:val="center"/>
              <w:rPr>
                <w:rFonts w:ascii="Arial" w:eastAsia="Arial" w:hAnsi="Arial" w:cs="Arial"/>
                <w:b/>
                <w:bCs/>
                <w:color w:val="000000"/>
                <w:sz w:val="23"/>
                <w:szCs w:val="23"/>
                <w:lang w:val="es-ES"/>
              </w:rPr>
            </w:pPr>
            <w:r w:rsidRPr="000D4920">
              <w:rPr>
                <w:rFonts w:ascii="Arial" w:eastAsia="Arial" w:hAnsi="Arial" w:cs="Arial"/>
                <w:b/>
                <w:bCs/>
                <w:color w:val="000000"/>
                <w:sz w:val="23"/>
                <w:szCs w:val="23"/>
                <w:lang w:val="es-ES"/>
              </w:rPr>
              <w:t>Detalle</w:t>
            </w:r>
          </w:p>
        </w:tc>
        <w:tc>
          <w:tcPr>
            <w:tcW w:w="1443"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815FA52" w14:textId="77777777" w:rsidR="00BB6912" w:rsidRPr="000D4920" w:rsidRDefault="00BB6912" w:rsidP="004A2CF4">
            <w:pPr>
              <w:spacing w:after="0" w:line="240" w:lineRule="auto"/>
              <w:jc w:val="center"/>
              <w:rPr>
                <w:rFonts w:ascii="Arial" w:eastAsia="Arial" w:hAnsi="Arial" w:cs="Arial"/>
                <w:b/>
                <w:bCs/>
                <w:color w:val="000000"/>
                <w:sz w:val="23"/>
                <w:szCs w:val="23"/>
                <w:lang w:val="es-ES"/>
              </w:rPr>
            </w:pPr>
            <w:r w:rsidRPr="000D4920">
              <w:rPr>
                <w:rFonts w:ascii="Arial" w:eastAsia="Arial" w:hAnsi="Arial" w:cs="Arial"/>
                <w:b/>
                <w:bCs/>
                <w:color w:val="000000"/>
                <w:sz w:val="23"/>
                <w:szCs w:val="23"/>
                <w:lang w:val="es-ES"/>
              </w:rPr>
              <w:t>Fecha inicio</w:t>
            </w:r>
          </w:p>
        </w:tc>
        <w:tc>
          <w:tcPr>
            <w:tcW w:w="1586"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E30DBB4" w14:textId="77777777" w:rsidR="00BB6912" w:rsidRPr="000D4920" w:rsidRDefault="00BB6912" w:rsidP="004A2CF4">
            <w:pPr>
              <w:spacing w:after="0" w:line="240" w:lineRule="auto"/>
              <w:jc w:val="center"/>
              <w:rPr>
                <w:rFonts w:ascii="Arial" w:eastAsia="Arial" w:hAnsi="Arial" w:cs="Arial"/>
                <w:b/>
                <w:bCs/>
                <w:color w:val="000000"/>
                <w:sz w:val="23"/>
                <w:szCs w:val="23"/>
                <w:lang w:val="es-ES"/>
              </w:rPr>
            </w:pPr>
            <w:r w:rsidRPr="000D4920">
              <w:rPr>
                <w:rFonts w:ascii="Arial" w:eastAsia="Arial" w:hAnsi="Arial" w:cs="Arial"/>
                <w:b/>
                <w:bCs/>
                <w:color w:val="000000"/>
                <w:sz w:val="23"/>
                <w:szCs w:val="23"/>
                <w:lang w:val="es-ES"/>
              </w:rPr>
              <w:t>Fecha fin</w:t>
            </w:r>
          </w:p>
        </w:tc>
      </w:tr>
      <w:tr w:rsidR="00BB6912" w:rsidRPr="00CF5A91" w14:paraId="06114B39" w14:textId="77777777" w:rsidTr="00B70C47">
        <w:trPr>
          <w:trHeight w:val="476"/>
          <w:tblHeader/>
          <w:jc w:val="center"/>
        </w:trPr>
        <w:tc>
          <w:tcPr>
            <w:tcW w:w="753" w:type="dxa"/>
            <w:vMerge/>
            <w:tcBorders>
              <w:top w:val="single" w:sz="4" w:space="0" w:color="auto"/>
              <w:left w:val="single" w:sz="4" w:space="0" w:color="auto"/>
              <w:bottom w:val="single" w:sz="4" w:space="0" w:color="auto"/>
              <w:right w:val="single" w:sz="4" w:space="0" w:color="auto"/>
            </w:tcBorders>
            <w:vAlign w:val="center"/>
            <w:hideMark/>
          </w:tcPr>
          <w:p w14:paraId="3C91271D" w14:textId="77777777" w:rsidR="00BB6912" w:rsidRPr="004A2CF4" w:rsidRDefault="00BB6912" w:rsidP="004A2CF4">
            <w:pPr>
              <w:spacing w:after="0" w:line="240" w:lineRule="auto"/>
              <w:rPr>
                <w:rFonts w:ascii="Arial" w:eastAsia="Arial" w:hAnsi="Arial" w:cs="Arial"/>
                <w:color w:val="000000"/>
                <w:sz w:val="23"/>
                <w:szCs w:val="23"/>
                <w:lang w:val="es-ES"/>
              </w:rPr>
            </w:pPr>
          </w:p>
        </w:tc>
        <w:tc>
          <w:tcPr>
            <w:tcW w:w="2219" w:type="dxa"/>
            <w:vMerge/>
            <w:tcBorders>
              <w:top w:val="single" w:sz="4" w:space="0" w:color="auto"/>
              <w:left w:val="single" w:sz="4" w:space="0" w:color="auto"/>
              <w:bottom w:val="single" w:sz="4" w:space="0" w:color="auto"/>
              <w:right w:val="single" w:sz="4" w:space="0" w:color="auto"/>
            </w:tcBorders>
            <w:vAlign w:val="center"/>
            <w:hideMark/>
          </w:tcPr>
          <w:p w14:paraId="27966997" w14:textId="77777777" w:rsidR="00BB6912" w:rsidRPr="004A2CF4" w:rsidRDefault="00BB6912" w:rsidP="004A2CF4">
            <w:pPr>
              <w:spacing w:after="0" w:line="240" w:lineRule="auto"/>
              <w:rPr>
                <w:rFonts w:ascii="Arial" w:eastAsia="Arial" w:hAnsi="Arial" w:cs="Arial"/>
                <w:color w:val="000000"/>
                <w:sz w:val="23"/>
                <w:szCs w:val="23"/>
                <w:lang w:val="es-ES"/>
              </w:rPr>
            </w:pPr>
          </w:p>
        </w:tc>
        <w:tc>
          <w:tcPr>
            <w:tcW w:w="2499" w:type="dxa"/>
            <w:vMerge/>
            <w:tcBorders>
              <w:top w:val="single" w:sz="4" w:space="0" w:color="auto"/>
              <w:left w:val="single" w:sz="4" w:space="0" w:color="auto"/>
              <w:bottom w:val="single" w:sz="4" w:space="0" w:color="auto"/>
              <w:right w:val="single" w:sz="4" w:space="0" w:color="auto"/>
            </w:tcBorders>
            <w:vAlign w:val="center"/>
            <w:hideMark/>
          </w:tcPr>
          <w:p w14:paraId="505D8877" w14:textId="77777777" w:rsidR="00BB6912" w:rsidRPr="004A2CF4" w:rsidRDefault="00BB6912" w:rsidP="004A2CF4">
            <w:pPr>
              <w:spacing w:after="0" w:line="240" w:lineRule="auto"/>
              <w:rPr>
                <w:rFonts w:ascii="Arial" w:eastAsia="Arial" w:hAnsi="Arial" w:cs="Arial"/>
                <w:color w:val="000000"/>
                <w:sz w:val="23"/>
                <w:szCs w:val="23"/>
                <w:lang w:val="es-ES"/>
              </w:rPr>
            </w:pPr>
          </w:p>
        </w:tc>
        <w:tc>
          <w:tcPr>
            <w:tcW w:w="1443" w:type="dxa"/>
            <w:vMerge/>
            <w:tcBorders>
              <w:top w:val="single" w:sz="4" w:space="0" w:color="auto"/>
              <w:left w:val="single" w:sz="4" w:space="0" w:color="auto"/>
              <w:bottom w:val="single" w:sz="4" w:space="0" w:color="auto"/>
              <w:right w:val="single" w:sz="4" w:space="0" w:color="auto"/>
            </w:tcBorders>
            <w:vAlign w:val="center"/>
            <w:hideMark/>
          </w:tcPr>
          <w:p w14:paraId="2F49296E" w14:textId="77777777" w:rsidR="00BB6912" w:rsidRPr="004A2CF4" w:rsidRDefault="00BB6912" w:rsidP="004A2CF4">
            <w:pPr>
              <w:spacing w:after="0" w:line="240" w:lineRule="auto"/>
              <w:rPr>
                <w:rFonts w:ascii="Arial" w:eastAsia="Arial" w:hAnsi="Arial" w:cs="Arial"/>
                <w:color w:val="000000"/>
                <w:sz w:val="23"/>
                <w:szCs w:val="23"/>
                <w:lang w:val="es-ES"/>
              </w:rPr>
            </w:pPr>
          </w:p>
        </w:tc>
        <w:tc>
          <w:tcPr>
            <w:tcW w:w="1586" w:type="dxa"/>
            <w:vMerge/>
            <w:tcBorders>
              <w:top w:val="single" w:sz="4" w:space="0" w:color="auto"/>
              <w:left w:val="single" w:sz="4" w:space="0" w:color="auto"/>
              <w:bottom w:val="single" w:sz="4" w:space="0" w:color="auto"/>
              <w:right w:val="single" w:sz="4" w:space="0" w:color="auto"/>
            </w:tcBorders>
            <w:vAlign w:val="center"/>
            <w:hideMark/>
          </w:tcPr>
          <w:p w14:paraId="24C71F87" w14:textId="77777777" w:rsidR="00BB6912" w:rsidRPr="004A2CF4" w:rsidRDefault="00BB6912" w:rsidP="004A2CF4">
            <w:pPr>
              <w:spacing w:after="0" w:line="240" w:lineRule="auto"/>
              <w:rPr>
                <w:rFonts w:ascii="Arial" w:eastAsia="Arial" w:hAnsi="Arial" w:cs="Arial"/>
                <w:color w:val="000000"/>
                <w:sz w:val="23"/>
                <w:szCs w:val="23"/>
                <w:lang w:val="es-ES"/>
              </w:rPr>
            </w:pPr>
          </w:p>
        </w:tc>
      </w:tr>
      <w:tr w:rsidR="00BB6912" w:rsidRPr="00CF5A91" w14:paraId="5AA36336" w14:textId="77777777" w:rsidTr="00B70C47">
        <w:trPr>
          <w:trHeight w:val="1909"/>
          <w:jc w:val="center"/>
        </w:trPr>
        <w:tc>
          <w:tcPr>
            <w:tcW w:w="753" w:type="dxa"/>
            <w:tcBorders>
              <w:top w:val="single" w:sz="4" w:space="0" w:color="auto"/>
              <w:left w:val="single" w:sz="4" w:space="0" w:color="000000" w:themeColor="text1"/>
              <w:bottom w:val="single" w:sz="4" w:space="0" w:color="A5A5A5" w:themeColor="accent3"/>
              <w:right w:val="single" w:sz="4" w:space="0" w:color="000000" w:themeColor="text1"/>
            </w:tcBorders>
            <w:shd w:val="clear" w:color="auto" w:fill="auto"/>
            <w:noWrap/>
            <w:vAlign w:val="center"/>
            <w:hideMark/>
          </w:tcPr>
          <w:p w14:paraId="607F80A1" w14:textId="77777777" w:rsidR="00BB6912" w:rsidRPr="004A2CF4" w:rsidRDefault="00BB6912"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1</w:t>
            </w:r>
          </w:p>
        </w:tc>
        <w:tc>
          <w:tcPr>
            <w:tcW w:w="2219" w:type="dxa"/>
            <w:tcBorders>
              <w:top w:val="single" w:sz="4" w:space="0" w:color="auto"/>
              <w:left w:val="nil"/>
              <w:bottom w:val="single" w:sz="4" w:space="0" w:color="A5A5A5" w:themeColor="accent3"/>
              <w:right w:val="single" w:sz="4" w:space="0" w:color="000000" w:themeColor="text1"/>
            </w:tcBorders>
            <w:shd w:val="clear" w:color="auto" w:fill="auto"/>
            <w:vAlign w:val="center"/>
            <w:hideMark/>
          </w:tcPr>
          <w:p w14:paraId="16767FCD" w14:textId="0EA72193"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 xml:space="preserve">Estructuración de la versión preliminar de </w:t>
            </w:r>
            <w:r w:rsidR="00587CDE" w:rsidRPr="004A2CF4">
              <w:rPr>
                <w:rFonts w:ascii="Arial" w:eastAsia="Arial" w:hAnsi="Arial" w:cs="Arial"/>
                <w:color w:val="000000"/>
                <w:sz w:val="23"/>
                <w:szCs w:val="23"/>
                <w:lang w:val="es-ES"/>
              </w:rPr>
              <w:t>a resolución que adopta las modificacione</w:t>
            </w:r>
            <w:r w:rsidRPr="004A2CF4">
              <w:rPr>
                <w:rFonts w:ascii="Arial" w:eastAsia="Arial" w:hAnsi="Arial" w:cs="Arial"/>
                <w:color w:val="000000"/>
                <w:sz w:val="23"/>
                <w:szCs w:val="23"/>
                <w:lang w:val="es-ES"/>
              </w:rPr>
              <w:t xml:space="preserve">s </w:t>
            </w:r>
            <w:r w:rsidR="00587CDE" w:rsidRPr="004A2CF4">
              <w:rPr>
                <w:rFonts w:ascii="Arial" w:eastAsia="Arial" w:hAnsi="Arial" w:cs="Arial"/>
                <w:color w:val="000000"/>
                <w:sz w:val="23"/>
                <w:szCs w:val="23"/>
                <w:lang w:val="es-ES"/>
              </w:rPr>
              <w:t xml:space="preserve">a los </w:t>
            </w:r>
            <w:r w:rsidRPr="004A2CF4">
              <w:rPr>
                <w:rFonts w:ascii="Arial" w:eastAsia="Arial" w:hAnsi="Arial" w:cs="Arial"/>
                <w:color w:val="000000"/>
                <w:sz w:val="23"/>
                <w:szCs w:val="23"/>
                <w:lang w:val="es-ES"/>
              </w:rPr>
              <w:t>documentos tipo.</w:t>
            </w:r>
          </w:p>
        </w:tc>
        <w:tc>
          <w:tcPr>
            <w:tcW w:w="2499" w:type="dxa"/>
            <w:tcBorders>
              <w:top w:val="single" w:sz="4" w:space="0" w:color="auto"/>
              <w:left w:val="nil"/>
              <w:bottom w:val="single" w:sz="4" w:space="0" w:color="A5A5A5" w:themeColor="accent3"/>
              <w:right w:val="single" w:sz="4" w:space="0" w:color="000000" w:themeColor="text1"/>
            </w:tcBorders>
            <w:shd w:val="clear" w:color="auto" w:fill="auto"/>
            <w:vAlign w:val="center"/>
            <w:hideMark/>
          </w:tcPr>
          <w:p w14:paraId="5B1190BF" w14:textId="1CB6D15A" w:rsidR="00BB6912" w:rsidRPr="004A2CF4" w:rsidRDefault="00904BED"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Elaboración</w:t>
            </w:r>
            <w:r w:rsidR="0028540F" w:rsidRPr="004A2CF4">
              <w:rPr>
                <w:rFonts w:ascii="Arial" w:eastAsia="Arial" w:hAnsi="Arial" w:cs="Arial"/>
                <w:color w:val="000000"/>
                <w:sz w:val="23"/>
                <w:szCs w:val="23"/>
                <w:lang w:val="es-ES"/>
              </w:rPr>
              <w:t xml:space="preserve"> del proyecto de </w:t>
            </w:r>
            <w:r w:rsidRPr="004A2CF4">
              <w:rPr>
                <w:rFonts w:ascii="Arial" w:eastAsia="Arial" w:hAnsi="Arial" w:cs="Arial"/>
                <w:color w:val="000000"/>
                <w:sz w:val="23"/>
                <w:szCs w:val="23"/>
                <w:lang w:val="es-ES"/>
              </w:rPr>
              <w:t xml:space="preserve">resolución que </w:t>
            </w:r>
            <w:r w:rsidR="00E32785" w:rsidRPr="004A2CF4">
              <w:rPr>
                <w:rFonts w:ascii="Arial" w:eastAsia="Arial" w:hAnsi="Arial" w:cs="Arial"/>
                <w:color w:val="000000"/>
                <w:sz w:val="23"/>
                <w:szCs w:val="23"/>
                <w:lang w:val="es-ES"/>
              </w:rPr>
              <w:t>adopta las modificaciones a los documentos tipo</w:t>
            </w:r>
          </w:p>
        </w:tc>
        <w:tc>
          <w:tcPr>
            <w:tcW w:w="1443" w:type="dxa"/>
            <w:tcBorders>
              <w:top w:val="single" w:sz="4" w:space="0" w:color="auto"/>
              <w:left w:val="nil"/>
              <w:bottom w:val="single" w:sz="4" w:space="0" w:color="A5A5A5" w:themeColor="accent3"/>
              <w:right w:val="single" w:sz="4" w:space="0" w:color="000000" w:themeColor="text1"/>
            </w:tcBorders>
            <w:shd w:val="clear" w:color="auto" w:fill="auto"/>
            <w:noWrap/>
            <w:vAlign w:val="center"/>
            <w:hideMark/>
          </w:tcPr>
          <w:p w14:paraId="4BEACED8" w14:textId="62FE7FAA" w:rsidR="00BB6912" w:rsidRPr="004A2CF4" w:rsidRDefault="0028540F"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15/02/2021</w:t>
            </w:r>
          </w:p>
        </w:tc>
        <w:tc>
          <w:tcPr>
            <w:tcW w:w="1586" w:type="dxa"/>
            <w:tcBorders>
              <w:top w:val="single" w:sz="4" w:space="0" w:color="auto"/>
              <w:left w:val="nil"/>
              <w:bottom w:val="single" w:sz="4" w:space="0" w:color="A5A5A5" w:themeColor="accent3"/>
              <w:right w:val="single" w:sz="4" w:space="0" w:color="000000" w:themeColor="text1"/>
            </w:tcBorders>
            <w:shd w:val="clear" w:color="auto" w:fill="auto"/>
            <w:noWrap/>
            <w:vAlign w:val="center"/>
            <w:hideMark/>
          </w:tcPr>
          <w:p w14:paraId="0A0E1E0C" w14:textId="56320C13" w:rsidR="00BB6912" w:rsidRPr="004A2CF4" w:rsidRDefault="0028540F"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05</w:t>
            </w:r>
            <w:r w:rsidR="00BB6912" w:rsidRPr="004A2CF4">
              <w:rPr>
                <w:rFonts w:ascii="Arial" w:eastAsia="Arial" w:hAnsi="Arial" w:cs="Arial"/>
                <w:color w:val="000000"/>
                <w:sz w:val="23"/>
                <w:szCs w:val="23"/>
                <w:lang w:val="es-ES"/>
              </w:rPr>
              <w:t>/0</w:t>
            </w:r>
            <w:r w:rsidR="00934A54" w:rsidRPr="004A2CF4">
              <w:rPr>
                <w:rFonts w:ascii="Arial" w:eastAsia="Arial" w:hAnsi="Arial" w:cs="Arial"/>
                <w:color w:val="000000"/>
                <w:sz w:val="23"/>
                <w:szCs w:val="23"/>
                <w:lang w:val="es-ES"/>
              </w:rPr>
              <w:t>3</w:t>
            </w:r>
            <w:r w:rsidR="00BB6912" w:rsidRPr="004A2CF4">
              <w:rPr>
                <w:rFonts w:ascii="Arial" w:eastAsia="Arial" w:hAnsi="Arial" w:cs="Arial"/>
                <w:color w:val="000000"/>
                <w:sz w:val="23"/>
                <w:szCs w:val="23"/>
                <w:lang w:val="es-ES"/>
              </w:rPr>
              <w:t>/2020</w:t>
            </w:r>
          </w:p>
        </w:tc>
      </w:tr>
      <w:tr w:rsidR="00BB6912" w:rsidRPr="00CF5A91" w14:paraId="15AA32E0" w14:textId="77777777" w:rsidTr="00B70C47">
        <w:trPr>
          <w:trHeight w:val="1277"/>
          <w:jc w:val="center"/>
        </w:trPr>
        <w:tc>
          <w:tcPr>
            <w:tcW w:w="753" w:type="dxa"/>
            <w:tcBorders>
              <w:top w:val="single" w:sz="4" w:space="0" w:color="A5A5A5" w:themeColor="accent3"/>
              <w:left w:val="single" w:sz="4" w:space="0" w:color="000000" w:themeColor="text1"/>
              <w:bottom w:val="single" w:sz="4" w:space="0" w:color="A5A5A5" w:themeColor="accent3"/>
              <w:right w:val="single" w:sz="4" w:space="0" w:color="000000" w:themeColor="text1"/>
            </w:tcBorders>
            <w:shd w:val="clear" w:color="auto" w:fill="auto"/>
            <w:noWrap/>
            <w:vAlign w:val="center"/>
          </w:tcPr>
          <w:p w14:paraId="239FEDCE" w14:textId="01619D88" w:rsidR="00BB6912" w:rsidRPr="004A2CF4" w:rsidRDefault="0028540F"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2</w:t>
            </w:r>
            <w:r w:rsidR="00BB6912" w:rsidRPr="004A2CF4">
              <w:rPr>
                <w:rFonts w:ascii="Arial" w:eastAsia="Arial" w:hAnsi="Arial" w:cs="Arial"/>
                <w:color w:val="000000"/>
                <w:sz w:val="23"/>
                <w:szCs w:val="23"/>
                <w:lang w:val="es-ES"/>
              </w:rPr>
              <w:t xml:space="preserve">. </w:t>
            </w:r>
          </w:p>
        </w:tc>
        <w:tc>
          <w:tcPr>
            <w:tcW w:w="221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tcPr>
          <w:p w14:paraId="4972B4D4" w14:textId="2C8A3201"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Elaboración de la memoria justificativa.</w:t>
            </w:r>
          </w:p>
        </w:tc>
        <w:tc>
          <w:tcPr>
            <w:tcW w:w="249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tcPr>
          <w:p w14:paraId="508FFD4F" w14:textId="4CAD0EB4"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Elaboración del proyecto de la memoria justificativa.</w:t>
            </w:r>
          </w:p>
        </w:tc>
        <w:tc>
          <w:tcPr>
            <w:tcW w:w="1443"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tcPr>
          <w:p w14:paraId="3EF5A6CD" w14:textId="2AFA9909" w:rsidR="00BB6912" w:rsidRPr="004A2CF4" w:rsidRDefault="00934A54"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01</w:t>
            </w:r>
            <w:r w:rsidR="00BB6912" w:rsidRPr="004A2CF4">
              <w:rPr>
                <w:rFonts w:ascii="Arial" w:eastAsia="Arial" w:hAnsi="Arial" w:cs="Arial"/>
                <w:color w:val="000000"/>
                <w:sz w:val="23"/>
                <w:szCs w:val="23"/>
                <w:lang w:val="es-ES"/>
              </w:rPr>
              <w:t>/0</w:t>
            </w:r>
            <w:r w:rsidRPr="004A2CF4">
              <w:rPr>
                <w:rFonts w:ascii="Arial" w:eastAsia="Arial" w:hAnsi="Arial" w:cs="Arial"/>
                <w:color w:val="000000"/>
                <w:sz w:val="23"/>
                <w:szCs w:val="23"/>
                <w:lang w:val="es-ES"/>
              </w:rPr>
              <w:t>3</w:t>
            </w:r>
            <w:r w:rsidR="00BB6912" w:rsidRPr="004A2CF4">
              <w:rPr>
                <w:rFonts w:ascii="Arial" w:eastAsia="Arial" w:hAnsi="Arial" w:cs="Arial"/>
                <w:color w:val="000000"/>
                <w:sz w:val="23"/>
                <w:szCs w:val="23"/>
                <w:lang w:val="es-ES"/>
              </w:rPr>
              <w:t>/202</w:t>
            </w:r>
            <w:r w:rsidRPr="004A2CF4">
              <w:rPr>
                <w:rFonts w:ascii="Arial" w:eastAsia="Arial" w:hAnsi="Arial" w:cs="Arial"/>
                <w:color w:val="000000"/>
                <w:sz w:val="23"/>
                <w:szCs w:val="23"/>
                <w:lang w:val="es-ES"/>
              </w:rPr>
              <w:t>1</w:t>
            </w:r>
          </w:p>
        </w:tc>
        <w:tc>
          <w:tcPr>
            <w:tcW w:w="1586"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tcPr>
          <w:p w14:paraId="710CDDE9" w14:textId="16A9AE2C" w:rsidR="00BB6912" w:rsidRPr="004A2CF4" w:rsidRDefault="00934A54"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05</w:t>
            </w:r>
            <w:r w:rsidR="00BB6912" w:rsidRPr="004A2CF4">
              <w:rPr>
                <w:rFonts w:ascii="Arial" w:eastAsia="Arial" w:hAnsi="Arial" w:cs="Arial"/>
                <w:color w:val="000000"/>
                <w:sz w:val="23"/>
                <w:szCs w:val="23"/>
                <w:lang w:val="es-ES"/>
              </w:rPr>
              <w:t>/0</w:t>
            </w:r>
            <w:r w:rsidRPr="004A2CF4">
              <w:rPr>
                <w:rFonts w:ascii="Arial" w:eastAsia="Arial" w:hAnsi="Arial" w:cs="Arial"/>
                <w:color w:val="000000"/>
                <w:sz w:val="23"/>
                <w:szCs w:val="23"/>
                <w:lang w:val="es-ES"/>
              </w:rPr>
              <w:t>3</w:t>
            </w:r>
            <w:r w:rsidR="00BB6912" w:rsidRPr="004A2CF4">
              <w:rPr>
                <w:rFonts w:ascii="Arial" w:eastAsia="Arial" w:hAnsi="Arial" w:cs="Arial"/>
                <w:color w:val="000000"/>
                <w:sz w:val="23"/>
                <w:szCs w:val="23"/>
                <w:lang w:val="es-ES"/>
              </w:rPr>
              <w:t>/202</w:t>
            </w:r>
            <w:r w:rsidRPr="004A2CF4">
              <w:rPr>
                <w:rFonts w:ascii="Arial" w:eastAsia="Arial" w:hAnsi="Arial" w:cs="Arial"/>
                <w:color w:val="000000"/>
                <w:sz w:val="23"/>
                <w:szCs w:val="23"/>
                <w:lang w:val="es-ES"/>
              </w:rPr>
              <w:t>1</w:t>
            </w:r>
          </w:p>
        </w:tc>
      </w:tr>
      <w:tr w:rsidR="00BB6912" w:rsidRPr="00CF5A91" w14:paraId="400E2C3E" w14:textId="77777777" w:rsidTr="00B70C47">
        <w:trPr>
          <w:trHeight w:val="1277"/>
          <w:jc w:val="center"/>
        </w:trPr>
        <w:tc>
          <w:tcPr>
            <w:tcW w:w="753" w:type="dxa"/>
            <w:tcBorders>
              <w:top w:val="single" w:sz="4" w:space="0" w:color="A5A5A5" w:themeColor="accent3"/>
              <w:left w:val="single" w:sz="4" w:space="0" w:color="000000" w:themeColor="text1"/>
              <w:bottom w:val="single" w:sz="4" w:space="0" w:color="A5A5A5" w:themeColor="accent3"/>
              <w:right w:val="single" w:sz="4" w:space="0" w:color="000000" w:themeColor="text1"/>
            </w:tcBorders>
            <w:shd w:val="clear" w:color="auto" w:fill="auto"/>
            <w:noWrap/>
            <w:vAlign w:val="center"/>
            <w:hideMark/>
          </w:tcPr>
          <w:p w14:paraId="3D6E7F56" w14:textId="2FF2890D" w:rsidR="00BB6912" w:rsidRPr="004A2CF4" w:rsidRDefault="00934A54"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3</w:t>
            </w:r>
          </w:p>
        </w:tc>
        <w:tc>
          <w:tcPr>
            <w:tcW w:w="221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hideMark/>
          </w:tcPr>
          <w:p w14:paraId="5317D66A"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Publicación del proyecto de documento tipo en la página web.</w:t>
            </w:r>
          </w:p>
        </w:tc>
        <w:tc>
          <w:tcPr>
            <w:tcW w:w="249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hideMark/>
          </w:tcPr>
          <w:p w14:paraId="548987FC"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Publicación para comentarios y observaciones de: i) el proyecto de documento tipo y ii) el proyecto de resolución que los adopta.</w:t>
            </w:r>
          </w:p>
        </w:tc>
        <w:tc>
          <w:tcPr>
            <w:tcW w:w="1443"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hideMark/>
          </w:tcPr>
          <w:p w14:paraId="3B32A278" w14:textId="50F34517" w:rsidR="00BB6912" w:rsidRPr="004A2CF4" w:rsidRDefault="00DC23DC" w:rsidP="004A2CF4">
            <w:pPr>
              <w:spacing w:after="0" w:line="240" w:lineRule="auto"/>
              <w:jc w:val="center"/>
              <w:rPr>
                <w:rFonts w:ascii="Arial" w:eastAsia="Arial" w:hAnsi="Arial" w:cs="Arial"/>
                <w:color w:val="000000"/>
                <w:sz w:val="23"/>
                <w:szCs w:val="23"/>
                <w:lang w:val="es-ES"/>
              </w:rPr>
            </w:pPr>
            <w:r>
              <w:rPr>
                <w:rFonts w:ascii="Arial" w:eastAsia="Arial" w:hAnsi="Arial" w:cs="Arial"/>
                <w:color w:val="000000"/>
                <w:sz w:val="23"/>
                <w:szCs w:val="23"/>
                <w:lang w:val="es-ES"/>
              </w:rPr>
              <w:t>10</w:t>
            </w:r>
            <w:r w:rsidR="00BB6912" w:rsidRPr="004A2CF4">
              <w:rPr>
                <w:rFonts w:ascii="Arial" w:eastAsia="Arial" w:hAnsi="Arial" w:cs="Arial"/>
                <w:color w:val="000000"/>
                <w:sz w:val="23"/>
                <w:szCs w:val="23"/>
                <w:lang w:val="es-ES"/>
              </w:rPr>
              <w:t>/0</w:t>
            </w:r>
            <w:r w:rsidR="00934A54" w:rsidRPr="004A2CF4">
              <w:rPr>
                <w:rFonts w:ascii="Arial" w:eastAsia="Arial" w:hAnsi="Arial" w:cs="Arial"/>
                <w:color w:val="000000"/>
                <w:sz w:val="23"/>
                <w:szCs w:val="23"/>
                <w:lang w:val="es-ES"/>
              </w:rPr>
              <w:t>3</w:t>
            </w:r>
            <w:r w:rsidR="00BB6912" w:rsidRPr="004A2CF4">
              <w:rPr>
                <w:rFonts w:ascii="Arial" w:eastAsia="Arial" w:hAnsi="Arial" w:cs="Arial"/>
                <w:color w:val="000000"/>
                <w:sz w:val="23"/>
                <w:szCs w:val="23"/>
                <w:lang w:val="es-ES"/>
              </w:rPr>
              <w:t>/202</w:t>
            </w:r>
            <w:r w:rsidR="00934A54" w:rsidRPr="004A2CF4">
              <w:rPr>
                <w:rFonts w:ascii="Arial" w:eastAsia="Arial" w:hAnsi="Arial" w:cs="Arial"/>
                <w:color w:val="000000"/>
                <w:sz w:val="23"/>
                <w:szCs w:val="23"/>
                <w:lang w:val="es-ES"/>
              </w:rPr>
              <w:t>1</w:t>
            </w:r>
          </w:p>
        </w:tc>
        <w:tc>
          <w:tcPr>
            <w:tcW w:w="1586"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hideMark/>
          </w:tcPr>
          <w:p w14:paraId="208F99DB" w14:textId="1FAE6E81" w:rsidR="00BB6912" w:rsidRPr="004A2CF4" w:rsidRDefault="00DC23DC" w:rsidP="004A2CF4">
            <w:pPr>
              <w:spacing w:after="0" w:line="240" w:lineRule="auto"/>
              <w:jc w:val="center"/>
              <w:rPr>
                <w:rFonts w:ascii="Arial" w:eastAsia="Arial" w:hAnsi="Arial" w:cs="Arial"/>
                <w:color w:val="000000"/>
                <w:sz w:val="23"/>
                <w:szCs w:val="23"/>
                <w:lang w:val="es-ES"/>
              </w:rPr>
            </w:pPr>
            <w:r>
              <w:rPr>
                <w:rFonts w:ascii="Arial" w:eastAsia="Arial" w:hAnsi="Arial" w:cs="Arial"/>
                <w:color w:val="000000"/>
                <w:sz w:val="23"/>
                <w:szCs w:val="23"/>
                <w:lang w:val="es-ES"/>
              </w:rPr>
              <w:t>20</w:t>
            </w:r>
            <w:r w:rsidR="00BB6912" w:rsidRPr="004A2CF4">
              <w:rPr>
                <w:rFonts w:ascii="Arial" w:eastAsia="Arial" w:hAnsi="Arial" w:cs="Arial"/>
                <w:color w:val="000000"/>
                <w:sz w:val="23"/>
                <w:szCs w:val="23"/>
                <w:lang w:val="es-ES"/>
              </w:rPr>
              <w:t>/0</w:t>
            </w:r>
            <w:r w:rsidR="00934A54" w:rsidRPr="004A2CF4">
              <w:rPr>
                <w:rFonts w:ascii="Arial" w:eastAsia="Arial" w:hAnsi="Arial" w:cs="Arial"/>
                <w:color w:val="000000"/>
                <w:sz w:val="23"/>
                <w:szCs w:val="23"/>
                <w:lang w:val="es-ES"/>
              </w:rPr>
              <w:t>3</w:t>
            </w:r>
            <w:r w:rsidR="00BB6912" w:rsidRPr="004A2CF4">
              <w:rPr>
                <w:rFonts w:ascii="Arial" w:eastAsia="Arial" w:hAnsi="Arial" w:cs="Arial"/>
                <w:color w:val="000000"/>
                <w:sz w:val="23"/>
                <w:szCs w:val="23"/>
                <w:lang w:val="es-ES"/>
              </w:rPr>
              <w:t>/202</w:t>
            </w:r>
            <w:r w:rsidR="00934A54" w:rsidRPr="004A2CF4">
              <w:rPr>
                <w:rFonts w:ascii="Arial" w:eastAsia="Arial" w:hAnsi="Arial" w:cs="Arial"/>
                <w:color w:val="000000"/>
                <w:sz w:val="23"/>
                <w:szCs w:val="23"/>
                <w:lang w:val="es-ES"/>
              </w:rPr>
              <w:t>1</w:t>
            </w:r>
          </w:p>
        </w:tc>
      </w:tr>
      <w:tr w:rsidR="00BB6912" w:rsidRPr="00CF5A91" w14:paraId="69BA48A8" w14:textId="77777777" w:rsidTr="00B70C47">
        <w:trPr>
          <w:trHeight w:val="1252"/>
          <w:jc w:val="center"/>
        </w:trPr>
        <w:tc>
          <w:tcPr>
            <w:tcW w:w="753" w:type="dxa"/>
            <w:tcBorders>
              <w:top w:val="single" w:sz="4" w:space="0" w:color="A5A5A5" w:themeColor="accent3"/>
              <w:left w:val="single" w:sz="4" w:space="0" w:color="000000" w:themeColor="text1"/>
              <w:bottom w:val="single" w:sz="4" w:space="0" w:color="D9D9D9" w:themeColor="background1" w:themeShade="D9"/>
              <w:right w:val="single" w:sz="4" w:space="0" w:color="000000" w:themeColor="text1"/>
            </w:tcBorders>
            <w:shd w:val="clear" w:color="auto" w:fill="auto"/>
            <w:noWrap/>
            <w:vAlign w:val="center"/>
            <w:hideMark/>
          </w:tcPr>
          <w:p w14:paraId="7AC41D83" w14:textId="3C8E1CB6" w:rsidR="00BB6912" w:rsidRPr="004A2CF4" w:rsidRDefault="00934A54"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4</w:t>
            </w:r>
          </w:p>
        </w:tc>
        <w:tc>
          <w:tcPr>
            <w:tcW w:w="221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hideMark/>
          </w:tcPr>
          <w:p w14:paraId="50AD265F"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Revisión de los comentarios y ajustes al documento tipo frente a los borradores anteriores.</w:t>
            </w:r>
          </w:p>
        </w:tc>
        <w:tc>
          <w:tcPr>
            <w:tcW w:w="249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hideMark/>
          </w:tcPr>
          <w:p w14:paraId="1DA5E70D"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Generar respuesta a las observaciones y realizar ajustes al documento tipo.</w:t>
            </w:r>
          </w:p>
        </w:tc>
        <w:tc>
          <w:tcPr>
            <w:tcW w:w="1443"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hideMark/>
          </w:tcPr>
          <w:p w14:paraId="009D9DB7" w14:textId="01D21AF7" w:rsidR="00BB6912" w:rsidRPr="004A2CF4" w:rsidRDefault="00DC23DC" w:rsidP="004A2CF4">
            <w:pPr>
              <w:spacing w:after="0" w:line="240" w:lineRule="auto"/>
              <w:jc w:val="center"/>
              <w:rPr>
                <w:rFonts w:ascii="Arial" w:eastAsia="Arial" w:hAnsi="Arial" w:cs="Arial"/>
                <w:color w:val="000000"/>
                <w:sz w:val="23"/>
                <w:szCs w:val="23"/>
                <w:lang w:val="es-ES"/>
              </w:rPr>
            </w:pPr>
            <w:r>
              <w:rPr>
                <w:rFonts w:ascii="Arial" w:eastAsia="Arial" w:hAnsi="Arial" w:cs="Arial"/>
                <w:color w:val="000000"/>
                <w:sz w:val="23"/>
                <w:szCs w:val="23"/>
                <w:lang w:val="es-ES"/>
              </w:rPr>
              <w:t>2</w:t>
            </w:r>
            <w:r w:rsidR="00250B40">
              <w:rPr>
                <w:rFonts w:ascii="Arial" w:eastAsia="Arial" w:hAnsi="Arial" w:cs="Arial"/>
                <w:color w:val="000000"/>
                <w:sz w:val="23"/>
                <w:szCs w:val="23"/>
                <w:lang w:val="es-ES"/>
              </w:rPr>
              <w:t>2</w:t>
            </w:r>
            <w:r w:rsidR="00BB6912" w:rsidRPr="004A2CF4">
              <w:rPr>
                <w:rFonts w:ascii="Arial" w:eastAsia="Arial" w:hAnsi="Arial" w:cs="Arial"/>
                <w:color w:val="000000"/>
                <w:sz w:val="23"/>
                <w:szCs w:val="23"/>
                <w:lang w:val="es-ES"/>
              </w:rPr>
              <w:t>/0</w:t>
            </w:r>
            <w:r w:rsidR="00934A54" w:rsidRPr="004A2CF4">
              <w:rPr>
                <w:rFonts w:ascii="Arial" w:eastAsia="Arial" w:hAnsi="Arial" w:cs="Arial"/>
                <w:color w:val="000000"/>
                <w:sz w:val="23"/>
                <w:szCs w:val="23"/>
                <w:lang w:val="es-ES"/>
              </w:rPr>
              <w:t>3</w:t>
            </w:r>
            <w:r w:rsidR="00BB6912" w:rsidRPr="004A2CF4">
              <w:rPr>
                <w:rFonts w:ascii="Arial" w:eastAsia="Arial" w:hAnsi="Arial" w:cs="Arial"/>
                <w:color w:val="000000"/>
                <w:sz w:val="23"/>
                <w:szCs w:val="23"/>
                <w:lang w:val="es-ES"/>
              </w:rPr>
              <w:t>/202</w:t>
            </w:r>
            <w:r w:rsidR="00934A54" w:rsidRPr="004A2CF4">
              <w:rPr>
                <w:rFonts w:ascii="Arial" w:eastAsia="Arial" w:hAnsi="Arial" w:cs="Arial"/>
                <w:color w:val="000000"/>
                <w:sz w:val="23"/>
                <w:szCs w:val="23"/>
                <w:lang w:val="es-ES"/>
              </w:rPr>
              <w:t>1</w:t>
            </w:r>
          </w:p>
        </w:tc>
        <w:tc>
          <w:tcPr>
            <w:tcW w:w="1586"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hideMark/>
          </w:tcPr>
          <w:p w14:paraId="39B82D9A" w14:textId="74612FDF" w:rsidR="00BB6912" w:rsidRPr="004A2CF4" w:rsidRDefault="000058A3"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0</w:t>
            </w:r>
            <w:r w:rsidR="002372A2">
              <w:rPr>
                <w:rFonts w:ascii="Arial" w:eastAsia="Arial" w:hAnsi="Arial" w:cs="Arial"/>
                <w:color w:val="000000"/>
                <w:sz w:val="23"/>
                <w:szCs w:val="23"/>
                <w:lang w:val="es-ES"/>
              </w:rPr>
              <w:t>6</w:t>
            </w:r>
            <w:r w:rsidR="00BB6912" w:rsidRPr="004A2CF4">
              <w:rPr>
                <w:rFonts w:ascii="Arial" w:eastAsia="Arial" w:hAnsi="Arial" w:cs="Arial"/>
                <w:color w:val="000000"/>
                <w:sz w:val="23"/>
                <w:szCs w:val="23"/>
                <w:lang w:val="es-ES"/>
              </w:rPr>
              <w:t>/</w:t>
            </w:r>
            <w:r w:rsidRPr="004A2CF4">
              <w:rPr>
                <w:rFonts w:ascii="Arial" w:eastAsia="Arial" w:hAnsi="Arial" w:cs="Arial"/>
                <w:color w:val="000000"/>
                <w:sz w:val="23"/>
                <w:szCs w:val="23"/>
                <w:lang w:val="es-ES"/>
              </w:rPr>
              <w:t>04</w:t>
            </w:r>
            <w:r w:rsidR="00BB6912" w:rsidRPr="004A2CF4">
              <w:rPr>
                <w:rFonts w:ascii="Arial" w:eastAsia="Arial" w:hAnsi="Arial" w:cs="Arial"/>
                <w:color w:val="000000"/>
                <w:sz w:val="23"/>
                <w:szCs w:val="23"/>
                <w:lang w:val="es-ES"/>
              </w:rPr>
              <w:t>/202</w:t>
            </w:r>
            <w:r w:rsidRPr="004A2CF4">
              <w:rPr>
                <w:rFonts w:ascii="Arial" w:eastAsia="Arial" w:hAnsi="Arial" w:cs="Arial"/>
                <w:color w:val="000000"/>
                <w:sz w:val="23"/>
                <w:szCs w:val="23"/>
                <w:lang w:val="es-ES"/>
              </w:rPr>
              <w:t>1</w:t>
            </w:r>
          </w:p>
        </w:tc>
      </w:tr>
      <w:tr w:rsidR="00BB6912" w:rsidRPr="00CF5A91" w14:paraId="151BE24C" w14:textId="77777777" w:rsidTr="00B70C47">
        <w:trPr>
          <w:trHeight w:val="28"/>
          <w:jc w:val="center"/>
        </w:trPr>
        <w:tc>
          <w:tcPr>
            <w:tcW w:w="753" w:type="dxa"/>
            <w:tcBorders>
              <w:top w:val="nil"/>
              <w:left w:val="single" w:sz="4" w:space="0" w:color="000000" w:themeColor="text1"/>
              <w:bottom w:val="single" w:sz="4" w:space="0" w:color="A5A5A5" w:themeColor="accent3"/>
              <w:right w:val="single" w:sz="4" w:space="0" w:color="000000" w:themeColor="text1"/>
            </w:tcBorders>
            <w:shd w:val="clear" w:color="auto" w:fill="auto"/>
            <w:noWrap/>
            <w:vAlign w:val="center"/>
          </w:tcPr>
          <w:p w14:paraId="2A8246ED" w14:textId="77777777" w:rsidR="00BB6912" w:rsidRPr="004A2CF4" w:rsidRDefault="00BB6912"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 xml:space="preserve">6 </w:t>
            </w:r>
          </w:p>
        </w:tc>
        <w:tc>
          <w:tcPr>
            <w:tcW w:w="221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tcPr>
          <w:p w14:paraId="62E7A92B"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Trámite de abogacía de la competencia</w:t>
            </w:r>
          </w:p>
        </w:tc>
        <w:tc>
          <w:tcPr>
            <w:tcW w:w="249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tcPr>
          <w:p w14:paraId="6C51C3DD"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La Agencia Nacional de Contratación Pública envía los documentos tipo de licitación de obra pública de infraestructura de transporte para agotar el concepto de la Superintendencia de Industria y Comercio.</w:t>
            </w:r>
          </w:p>
        </w:tc>
        <w:tc>
          <w:tcPr>
            <w:tcW w:w="1443"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tcPr>
          <w:p w14:paraId="17D3EF0C" w14:textId="4F767C6B" w:rsidR="00BB6912" w:rsidRPr="004A2CF4" w:rsidRDefault="009D6DF1" w:rsidP="004A2CF4">
            <w:pPr>
              <w:spacing w:after="0" w:line="240" w:lineRule="auto"/>
              <w:jc w:val="center"/>
              <w:rPr>
                <w:rFonts w:ascii="Arial" w:eastAsia="Arial" w:hAnsi="Arial" w:cs="Arial"/>
                <w:color w:val="000000"/>
                <w:sz w:val="23"/>
                <w:szCs w:val="23"/>
                <w:lang w:val="es-ES"/>
              </w:rPr>
            </w:pPr>
            <w:r>
              <w:rPr>
                <w:rFonts w:ascii="Arial" w:eastAsia="Arial" w:hAnsi="Arial" w:cs="Arial"/>
                <w:color w:val="000000"/>
                <w:sz w:val="23"/>
                <w:szCs w:val="23"/>
                <w:lang w:val="es-ES"/>
              </w:rPr>
              <w:t>20</w:t>
            </w:r>
            <w:r w:rsidR="00BB6912" w:rsidRPr="004A2CF4">
              <w:rPr>
                <w:rFonts w:ascii="Arial" w:eastAsia="Arial" w:hAnsi="Arial" w:cs="Arial"/>
                <w:color w:val="000000"/>
                <w:sz w:val="23"/>
                <w:szCs w:val="23"/>
                <w:lang w:val="es-ES"/>
              </w:rPr>
              <w:t>/</w:t>
            </w:r>
            <w:r w:rsidR="00934A54" w:rsidRPr="004A2CF4">
              <w:rPr>
                <w:rFonts w:ascii="Arial" w:eastAsia="Arial" w:hAnsi="Arial" w:cs="Arial"/>
                <w:color w:val="000000"/>
                <w:sz w:val="23"/>
                <w:szCs w:val="23"/>
                <w:lang w:val="es-ES"/>
              </w:rPr>
              <w:t>03</w:t>
            </w:r>
            <w:r w:rsidR="00BB6912" w:rsidRPr="004A2CF4">
              <w:rPr>
                <w:rFonts w:ascii="Arial" w:eastAsia="Arial" w:hAnsi="Arial" w:cs="Arial"/>
                <w:color w:val="000000"/>
                <w:sz w:val="23"/>
                <w:szCs w:val="23"/>
                <w:lang w:val="es-ES"/>
              </w:rPr>
              <w:t>/2020</w:t>
            </w:r>
          </w:p>
        </w:tc>
        <w:tc>
          <w:tcPr>
            <w:tcW w:w="1586" w:type="dxa"/>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tcPr>
          <w:p w14:paraId="38865948" w14:textId="0F8FEFC3" w:rsidR="00BB6912" w:rsidRPr="004A2CF4" w:rsidRDefault="000058A3"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0</w:t>
            </w:r>
            <w:r w:rsidR="002372A2">
              <w:rPr>
                <w:rFonts w:ascii="Arial" w:eastAsia="Arial" w:hAnsi="Arial" w:cs="Arial"/>
                <w:color w:val="000000"/>
                <w:sz w:val="23"/>
                <w:szCs w:val="23"/>
                <w:lang w:val="es-ES"/>
              </w:rPr>
              <w:t>6</w:t>
            </w:r>
            <w:r w:rsidRPr="004A2CF4">
              <w:rPr>
                <w:rFonts w:ascii="Arial" w:eastAsia="Arial" w:hAnsi="Arial" w:cs="Arial"/>
                <w:color w:val="000000"/>
                <w:sz w:val="23"/>
                <w:szCs w:val="23"/>
                <w:lang w:val="es-ES"/>
              </w:rPr>
              <w:t>/04/2021</w:t>
            </w:r>
          </w:p>
        </w:tc>
      </w:tr>
      <w:tr w:rsidR="00BB6912" w:rsidRPr="00CF5A91" w14:paraId="3E658C6D" w14:textId="77777777" w:rsidTr="00B70C47">
        <w:trPr>
          <w:trHeight w:val="28"/>
          <w:jc w:val="center"/>
        </w:trPr>
        <w:tc>
          <w:tcPr>
            <w:tcW w:w="753" w:type="dxa"/>
            <w:tcBorders>
              <w:top w:val="nil"/>
              <w:left w:val="single" w:sz="4" w:space="0" w:color="000000" w:themeColor="text1"/>
              <w:bottom w:val="single" w:sz="4" w:space="0" w:color="A5A5A5" w:themeColor="accent3"/>
              <w:right w:val="single" w:sz="4" w:space="0" w:color="000000" w:themeColor="text1"/>
            </w:tcBorders>
            <w:shd w:val="clear" w:color="auto" w:fill="auto"/>
            <w:noWrap/>
            <w:vAlign w:val="center"/>
            <w:hideMark/>
          </w:tcPr>
          <w:p w14:paraId="69C5277E" w14:textId="77777777" w:rsidR="00BB6912" w:rsidRPr="004A2CF4" w:rsidRDefault="00BB6912"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lastRenderedPageBreak/>
              <w:t>7</w:t>
            </w:r>
          </w:p>
        </w:tc>
        <w:tc>
          <w:tcPr>
            <w:tcW w:w="221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hideMark/>
          </w:tcPr>
          <w:p w14:paraId="4B88FB38"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Expedición del acto administrativo -Resolución de CCE- y de los documentos tipo.</w:t>
            </w:r>
          </w:p>
        </w:tc>
        <w:tc>
          <w:tcPr>
            <w:tcW w:w="2499" w:type="dxa"/>
            <w:tcBorders>
              <w:top w:val="single" w:sz="4" w:space="0" w:color="A5A5A5" w:themeColor="accent3"/>
              <w:left w:val="nil"/>
              <w:bottom w:val="single" w:sz="4" w:space="0" w:color="A5A5A5" w:themeColor="accent3"/>
              <w:right w:val="single" w:sz="4" w:space="0" w:color="000000" w:themeColor="text1"/>
            </w:tcBorders>
            <w:shd w:val="clear" w:color="auto" w:fill="auto"/>
            <w:vAlign w:val="center"/>
            <w:hideMark/>
          </w:tcPr>
          <w:p w14:paraId="611A6324" w14:textId="77777777" w:rsidR="00BB6912" w:rsidRPr="004A2CF4" w:rsidRDefault="00BB6912" w:rsidP="004A2CF4">
            <w:pPr>
              <w:spacing w:after="0" w:line="240" w:lineRule="auto"/>
              <w:jc w:val="both"/>
              <w:rPr>
                <w:rFonts w:ascii="Arial" w:eastAsia="Arial" w:hAnsi="Arial" w:cs="Arial"/>
                <w:color w:val="000000"/>
                <w:sz w:val="23"/>
                <w:szCs w:val="23"/>
                <w:lang w:val="es-ES"/>
              </w:rPr>
            </w:pPr>
            <w:r w:rsidRPr="004A2CF4">
              <w:rPr>
                <w:rFonts w:ascii="Arial" w:eastAsia="Arial" w:hAnsi="Arial" w:cs="Arial"/>
                <w:color w:val="000000"/>
                <w:sz w:val="23"/>
                <w:szCs w:val="23"/>
                <w:lang w:val="es-ES"/>
              </w:rPr>
              <w:t>Publicación de acto administrativo de CCE y de los documentos tipo definitivos.</w:t>
            </w:r>
          </w:p>
        </w:tc>
        <w:tc>
          <w:tcPr>
            <w:tcW w:w="3029" w:type="dxa"/>
            <w:gridSpan w:val="2"/>
            <w:tcBorders>
              <w:top w:val="single" w:sz="4" w:space="0" w:color="A5A5A5" w:themeColor="accent3"/>
              <w:left w:val="nil"/>
              <w:bottom w:val="single" w:sz="4" w:space="0" w:color="A5A5A5" w:themeColor="accent3"/>
              <w:right w:val="single" w:sz="4" w:space="0" w:color="000000" w:themeColor="text1"/>
            </w:tcBorders>
            <w:shd w:val="clear" w:color="auto" w:fill="auto"/>
            <w:noWrap/>
            <w:vAlign w:val="center"/>
            <w:hideMark/>
          </w:tcPr>
          <w:p w14:paraId="4C5A4713" w14:textId="1FEDCBFB" w:rsidR="00BB6912" w:rsidRPr="004A2CF4" w:rsidRDefault="00C42661" w:rsidP="004A2CF4">
            <w:pPr>
              <w:spacing w:after="0" w:line="240" w:lineRule="auto"/>
              <w:jc w:val="center"/>
              <w:rPr>
                <w:rFonts w:ascii="Arial" w:eastAsia="Arial" w:hAnsi="Arial" w:cs="Arial"/>
                <w:color w:val="000000"/>
                <w:sz w:val="23"/>
                <w:szCs w:val="23"/>
                <w:lang w:val="es-ES"/>
              </w:rPr>
            </w:pPr>
            <w:r w:rsidRPr="004A2CF4">
              <w:rPr>
                <w:rFonts w:ascii="Arial" w:eastAsia="Arial" w:hAnsi="Arial" w:cs="Arial"/>
                <w:color w:val="000000"/>
                <w:sz w:val="23"/>
                <w:szCs w:val="23"/>
                <w:lang w:val="es-ES"/>
              </w:rPr>
              <w:t>0</w:t>
            </w:r>
            <w:r w:rsidR="002372A2">
              <w:rPr>
                <w:rFonts w:ascii="Arial" w:eastAsia="Arial" w:hAnsi="Arial" w:cs="Arial"/>
                <w:color w:val="000000"/>
                <w:sz w:val="23"/>
                <w:szCs w:val="23"/>
                <w:lang w:val="es-ES"/>
              </w:rPr>
              <w:t>6</w:t>
            </w:r>
            <w:r w:rsidR="00BB6912" w:rsidRPr="004A2CF4">
              <w:rPr>
                <w:rFonts w:ascii="Arial" w:eastAsia="Arial" w:hAnsi="Arial" w:cs="Arial"/>
                <w:color w:val="000000"/>
                <w:sz w:val="23"/>
                <w:szCs w:val="23"/>
                <w:lang w:val="es-ES"/>
              </w:rPr>
              <w:t>/</w:t>
            </w:r>
            <w:r w:rsidRPr="004A2CF4">
              <w:rPr>
                <w:rFonts w:ascii="Arial" w:eastAsia="Arial" w:hAnsi="Arial" w:cs="Arial"/>
                <w:color w:val="000000"/>
                <w:sz w:val="23"/>
                <w:szCs w:val="23"/>
                <w:lang w:val="es-ES"/>
              </w:rPr>
              <w:t>04</w:t>
            </w:r>
            <w:r w:rsidR="00BB6912" w:rsidRPr="004A2CF4">
              <w:rPr>
                <w:rFonts w:ascii="Arial" w:eastAsia="Arial" w:hAnsi="Arial" w:cs="Arial"/>
                <w:color w:val="000000"/>
                <w:sz w:val="23"/>
                <w:szCs w:val="23"/>
                <w:lang w:val="es-ES"/>
              </w:rPr>
              <w:t>/202</w:t>
            </w:r>
            <w:r w:rsidRPr="004A2CF4">
              <w:rPr>
                <w:rFonts w:ascii="Arial" w:eastAsia="Arial" w:hAnsi="Arial" w:cs="Arial"/>
                <w:color w:val="000000"/>
                <w:sz w:val="23"/>
                <w:szCs w:val="23"/>
                <w:lang w:val="es-ES"/>
              </w:rPr>
              <w:t>1</w:t>
            </w:r>
          </w:p>
        </w:tc>
      </w:tr>
    </w:tbl>
    <w:p w14:paraId="00000085" w14:textId="77777777" w:rsidR="008477E2" w:rsidRDefault="008477E2">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b/>
          <w:color w:val="000000"/>
        </w:rPr>
      </w:pPr>
    </w:p>
    <w:p w14:paraId="00000086" w14:textId="77777777" w:rsidR="008477E2" w:rsidRDefault="008477E2">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color w:val="000000"/>
        </w:rPr>
      </w:pPr>
    </w:p>
    <w:p w14:paraId="00000087" w14:textId="77777777" w:rsidR="008477E2" w:rsidRDefault="00204519">
      <w:pPr>
        <w:pStyle w:val="Normal0"/>
        <w:numPr>
          <w:ilvl w:val="0"/>
          <w:numId w:val="1"/>
        </w:numPr>
        <w:spacing w:after="0" w:line="240" w:lineRule="auto"/>
        <w:ind w:left="0" w:right="51" w:firstLine="0"/>
        <w:jc w:val="both"/>
        <w:rPr>
          <w:rFonts w:ascii="Arial" w:eastAsia="Arial" w:hAnsi="Arial" w:cs="Arial"/>
          <w:sz w:val="23"/>
          <w:szCs w:val="23"/>
        </w:rPr>
      </w:pPr>
      <w:r w:rsidRPr="6CB76B80">
        <w:rPr>
          <w:rFonts w:ascii="Arial" w:eastAsia="Arial" w:hAnsi="Arial" w:cs="Arial"/>
          <w:b/>
          <w:bCs/>
          <w:sz w:val="23"/>
          <w:szCs w:val="23"/>
        </w:rPr>
        <w:t>Ámbito de aplicación y sujetos a quienes se dirige</w:t>
      </w:r>
    </w:p>
    <w:p w14:paraId="00000088" w14:textId="77777777" w:rsidR="008477E2" w:rsidRDefault="008477E2">
      <w:pPr>
        <w:pStyle w:val="Normal0"/>
        <w:spacing w:after="0" w:line="240" w:lineRule="auto"/>
        <w:ind w:right="51"/>
        <w:jc w:val="both"/>
        <w:rPr>
          <w:rFonts w:ascii="Arial" w:eastAsia="Arial" w:hAnsi="Arial" w:cs="Arial"/>
          <w:sz w:val="23"/>
          <w:szCs w:val="23"/>
        </w:rPr>
      </w:pPr>
    </w:p>
    <w:p w14:paraId="00000089" w14:textId="77777777" w:rsidR="008477E2" w:rsidRDefault="00204519">
      <w:pPr>
        <w:pStyle w:val="Normal0"/>
        <w:pBdr>
          <w:top w:val="nil"/>
          <w:left w:val="nil"/>
          <w:bottom w:val="nil"/>
          <w:right w:val="nil"/>
          <w:between w:val="nil"/>
        </w:pBdr>
        <w:spacing w:after="0" w:line="240" w:lineRule="auto"/>
        <w:ind w:right="51"/>
        <w:jc w:val="both"/>
        <w:rPr>
          <w:rFonts w:ascii="Arial" w:eastAsia="Arial" w:hAnsi="Arial" w:cs="Arial"/>
          <w:color w:val="000000"/>
          <w:sz w:val="23"/>
          <w:szCs w:val="23"/>
        </w:rPr>
      </w:pPr>
      <w:r>
        <w:rPr>
          <w:rFonts w:ascii="Arial" w:eastAsia="Arial" w:hAnsi="Arial" w:cs="Arial"/>
          <w:color w:val="000000"/>
          <w:sz w:val="23"/>
          <w:szCs w:val="23"/>
        </w:rPr>
        <w:t xml:space="preserve">La modificación a los criterios de desempate de los Documentos Tipo expedidos por la Agencia Nacional de Contratación Pública – Colombia Compra Eficiente tiene aplicación a nivel nacional y deben ser observados por todas las entidades sometidas al Estatuto General de Contratación de la Administración Pública. </w:t>
      </w:r>
    </w:p>
    <w:p w14:paraId="0000008A" w14:textId="77777777" w:rsidR="008477E2" w:rsidRDefault="008477E2">
      <w:pPr>
        <w:pStyle w:val="Normal0"/>
        <w:pBdr>
          <w:top w:val="nil"/>
          <w:left w:val="nil"/>
          <w:bottom w:val="nil"/>
          <w:right w:val="nil"/>
          <w:between w:val="nil"/>
        </w:pBdr>
        <w:spacing w:after="0" w:line="240" w:lineRule="auto"/>
        <w:ind w:right="51"/>
        <w:jc w:val="both"/>
        <w:rPr>
          <w:rFonts w:ascii="Arial" w:eastAsia="Arial" w:hAnsi="Arial" w:cs="Arial"/>
          <w:color w:val="000000"/>
          <w:sz w:val="23"/>
          <w:szCs w:val="23"/>
        </w:rPr>
      </w:pPr>
    </w:p>
    <w:p w14:paraId="57A1DF54" w14:textId="39518539" w:rsidR="00DD1B72" w:rsidRPr="009906B1" w:rsidRDefault="00204519" w:rsidP="009906B1">
      <w:pPr>
        <w:pStyle w:val="Normal0"/>
        <w:pBdr>
          <w:top w:val="nil"/>
          <w:left w:val="nil"/>
          <w:bottom w:val="nil"/>
          <w:right w:val="nil"/>
          <w:between w:val="nil"/>
        </w:pBdr>
        <w:tabs>
          <w:tab w:val="center" w:pos="4419"/>
          <w:tab w:val="right" w:pos="8838"/>
        </w:tabs>
        <w:spacing w:after="0" w:line="240" w:lineRule="auto"/>
        <w:ind w:right="51"/>
        <w:jc w:val="both"/>
        <w:rPr>
          <w:rFonts w:ascii="Arial" w:eastAsia="Arial" w:hAnsi="Arial" w:cs="Arial"/>
          <w:color w:val="000000"/>
          <w:sz w:val="23"/>
          <w:szCs w:val="23"/>
        </w:rPr>
      </w:pPr>
      <w:r w:rsidRPr="00DD1B72">
        <w:rPr>
          <w:rFonts w:ascii="Arial" w:eastAsia="Arial" w:hAnsi="Arial" w:cs="Arial"/>
          <w:color w:val="000000"/>
          <w:sz w:val="23"/>
          <w:szCs w:val="23"/>
        </w:rPr>
        <w:t xml:space="preserve">El artículo </w:t>
      </w:r>
      <w:r w:rsidR="00A83795" w:rsidRPr="00DD1B72">
        <w:rPr>
          <w:rFonts w:ascii="Arial" w:eastAsia="Arial" w:hAnsi="Arial" w:cs="Arial"/>
          <w:color w:val="000000"/>
          <w:sz w:val="23"/>
          <w:szCs w:val="23"/>
        </w:rPr>
        <w:t>2</w:t>
      </w:r>
      <w:r w:rsidR="008B6109">
        <w:rPr>
          <w:rFonts w:ascii="Arial" w:eastAsia="Arial" w:hAnsi="Arial" w:cs="Arial"/>
          <w:color w:val="000000"/>
          <w:sz w:val="23"/>
          <w:szCs w:val="23"/>
        </w:rPr>
        <w:t>6</w:t>
      </w:r>
      <w:r w:rsidRPr="00DD1B72">
        <w:rPr>
          <w:rFonts w:ascii="Arial" w:eastAsia="Arial" w:hAnsi="Arial" w:cs="Arial"/>
          <w:color w:val="000000"/>
          <w:sz w:val="23"/>
          <w:szCs w:val="23"/>
        </w:rPr>
        <w:t xml:space="preserve"> de la resolución establece su vigencia y determina que es aplicable a los procesos de licitación de obra pública de infraestructura de transporte, cuyo aviso de convocatoria pública se publique </w:t>
      </w:r>
      <w:r w:rsidR="00DD1B72" w:rsidRPr="00DD1B72">
        <w:rPr>
          <w:rFonts w:ascii="Arial" w:eastAsia="Arial" w:hAnsi="Arial" w:cs="Arial"/>
          <w:color w:val="000000"/>
          <w:sz w:val="23"/>
          <w:szCs w:val="23"/>
        </w:rPr>
        <w:t>con posterioridad a la expedición de esta resolución.</w:t>
      </w:r>
    </w:p>
    <w:p w14:paraId="2689AABA" w14:textId="77777777" w:rsidR="00CF5A91" w:rsidRPr="00CF5A91" w:rsidRDefault="00CF5A91">
      <w:pPr>
        <w:pStyle w:val="Normal0"/>
        <w:pBdr>
          <w:top w:val="nil"/>
          <w:left w:val="nil"/>
          <w:bottom w:val="nil"/>
          <w:right w:val="nil"/>
          <w:between w:val="nil"/>
        </w:pBdr>
        <w:tabs>
          <w:tab w:val="center" w:pos="4419"/>
          <w:tab w:val="right" w:pos="8838"/>
        </w:tabs>
        <w:spacing w:after="0" w:line="240" w:lineRule="auto"/>
        <w:ind w:right="51"/>
        <w:jc w:val="both"/>
        <w:rPr>
          <w:rFonts w:ascii="Times New Roman" w:eastAsia="Times New Roman" w:hAnsi="Times New Roman" w:cs="Times New Roman"/>
          <w:color w:val="000000"/>
          <w:sz w:val="23"/>
          <w:szCs w:val="23"/>
        </w:rPr>
      </w:pPr>
    </w:p>
    <w:p w14:paraId="0000008D" w14:textId="77777777" w:rsidR="008477E2" w:rsidRDefault="00204519">
      <w:pPr>
        <w:pStyle w:val="Normal0"/>
        <w:numPr>
          <w:ilvl w:val="0"/>
          <w:numId w:val="1"/>
        </w:numPr>
        <w:spacing w:after="0" w:line="240" w:lineRule="auto"/>
        <w:ind w:left="0" w:right="51" w:firstLine="0"/>
        <w:jc w:val="both"/>
        <w:rPr>
          <w:rFonts w:ascii="Arial" w:eastAsia="Arial" w:hAnsi="Arial" w:cs="Arial"/>
          <w:b/>
          <w:sz w:val="23"/>
          <w:szCs w:val="23"/>
        </w:rPr>
      </w:pPr>
      <w:r>
        <w:rPr>
          <w:rFonts w:ascii="Arial" w:eastAsia="Arial" w:hAnsi="Arial" w:cs="Arial"/>
          <w:b/>
          <w:sz w:val="23"/>
          <w:szCs w:val="23"/>
        </w:rPr>
        <w:t>Trámite de abogacía de la competencia</w:t>
      </w:r>
    </w:p>
    <w:p w14:paraId="0000008E" w14:textId="77777777" w:rsidR="008477E2" w:rsidRDefault="008477E2">
      <w:pPr>
        <w:pStyle w:val="Normal0"/>
        <w:spacing w:after="0" w:line="240" w:lineRule="auto"/>
        <w:ind w:right="51"/>
        <w:jc w:val="both"/>
        <w:rPr>
          <w:rFonts w:ascii="Arial" w:eastAsia="Arial" w:hAnsi="Arial" w:cs="Arial"/>
          <w:b/>
          <w:sz w:val="23"/>
          <w:szCs w:val="23"/>
        </w:rPr>
      </w:pPr>
    </w:p>
    <w:p w14:paraId="00000091" w14:textId="1B2186C3" w:rsidR="008477E2" w:rsidRPr="00CF5A91" w:rsidRDefault="00204519">
      <w:pPr>
        <w:pStyle w:val="Normal0"/>
        <w:spacing w:after="0" w:line="240" w:lineRule="auto"/>
        <w:ind w:right="51"/>
        <w:jc w:val="both"/>
        <w:rPr>
          <w:rFonts w:ascii="Arial" w:eastAsia="Arial" w:hAnsi="Arial" w:cs="Arial"/>
          <w:sz w:val="23"/>
          <w:szCs w:val="23"/>
        </w:rPr>
      </w:pPr>
      <w:r w:rsidRPr="00A2089C">
        <w:rPr>
          <w:rFonts w:ascii="Arial" w:eastAsia="Arial" w:hAnsi="Arial" w:cs="Arial"/>
          <w:sz w:val="23"/>
          <w:szCs w:val="23"/>
        </w:rPr>
        <w:t xml:space="preserve">La Agencia Nacional de Contratación Pública – Colombia Compra Eficiente, el </w:t>
      </w:r>
      <w:proofErr w:type="spellStart"/>
      <w:r w:rsidR="00DD1B72" w:rsidRPr="00A2089C">
        <w:rPr>
          <w:rFonts w:ascii="Arial" w:eastAsia="Arial" w:hAnsi="Arial" w:cs="Arial"/>
          <w:sz w:val="23"/>
          <w:szCs w:val="23"/>
        </w:rPr>
        <w:t>xx</w:t>
      </w:r>
      <w:proofErr w:type="spellEnd"/>
      <w:r w:rsidRPr="00A2089C">
        <w:rPr>
          <w:rFonts w:ascii="Arial" w:eastAsia="Arial" w:hAnsi="Arial" w:cs="Arial"/>
          <w:sz w:val="23"/>
          <w:szCs w:val="23"/>
        </w:rPr>
        <w:t xml:space="preserve"> de </w:t>
      </w:r>
      <w:r w:rsidR="00DD1B72" w:rsidRPr="00A2089C">
        <w:rPr>
          <w:rFonts w:ascii="Arial" w:eastAsia="Arial" w:hAnsi="Arial" w:cs="Arial"/>
          <w:sz w:val="23"/>
          <w:szCs w:val="23"/>
        </w:rPr>
        <w:t xml:space="preserve">marzo </w:t>
      </w:r>
      <w:r w:rsidRPr="00A2089C">
        <w:rPr>
          <w:rFonts w:ascii="Arial" w:eastAsia="Arial" w:hAnsi="Arial" w:cs="Arial"/>
          <w:sz w:val="23"/>
          <w:szCs w:val="23"/>
        </w:rPr>
        <w:t>de 202</w:t>
      </w:r>
      <w:r w:rsidR="00DD1B72" w:rsidRPr="00A2089C">
        <w:rPr>
          <w:rFonts w:ascii="Arial" w:eastAsia="Arial" w:hAnsi="Arial" w:cs="Arial"/>
          <w:sz w:val="23"/>
          <w:szCs w:val="23"/>
        </w:rPr>
        <w:t>1</w:t>
      </w:r>
      <w:r w:rsidRPr="00A2089C">
        <w:rPr>
          <w:rFonts w:ascii="Arial" w:eastAsia="Arial" w:hAnsi="Arial" w:cs="Arial"/>
          <w:sz w:val="23"/>
          <w:szCs w:val="23"/>
        </w:rPr>
        <w:t>, solicitó a la Superintendencia de Industria y Comercio, su pronunciamiento para agotar el trámite de abogacía de la competencia de que trata el artículo 7 de la Ley 1340 de 2007 y los artículos 2.2.2.30.1 y ss. del Decreto 1074 de 2015, en relación con l</w:t>
      </w:r>
      <w:r w:rsidR="00DD1B72" w:rsidRPr="00A2089C">
        <w:rPr>
          <w:rFonts w:ascii="Arial" w:eastAsia="Arial" w:hAnsi="Arial" w:cs="Arial"/>
          <w:sz w:val="23"/>
          <w:szCs w:val="23"/>
        </w:rPr>
        <w:t>a resolución que modifica los documentos tipo adoptados por la Agencia Nacional de Contratación Pública.</w:t>
      </w:r>
      <w:r w:rsidRPr="00A2089C">
        <w:rPr>
          <w:rFonts w:ascii="Arial" w:eastAsia="Arial" w:hAnsi="Arial" w:cs="Arial"/>
          <w:sz w:val="23"/>
          <w:szCs w:val="23"/>
        </w:rPr>
        <w:t xml:space="preserve"> Al respecto, dicha entidad, en el radicado No. </w:t>
      </w:r>
      <w:proofErr w:type="spellStart"/>
      <w:r w:rsidR="00DD1B72" w:rsidRPr="00A2089C">
        <w:rPr>
          <w:rFonts w:ascii="Arial" w:eastAsia="Arial" w:hAnsi="Arial" w:cs="Arial"/>
          <w:sz w:val="23"/>
          <w:szCs w:val="23"/>
        </w:rPr>
        <w:t>xxxxx</w:t>
      </w:r>
      <w:proofErr w:type="spellEnd"/>
      <w:r w:rsidRPr="00A2089C">
        <w:rPr>
          <w:rFonts w:ascii="Arial" w:eastAsia="Arial" w:hAnsi="Arial" w:cs="Arial"/>
          <w:sz w:val="23"/>
          <w:szCs w:val="23"/>
        </w:rPr>
        <w:t xml:space="preserve"> </w:t>
      </w:r>
      <w:r w:rsidR="00DD1B72" w:rsidRPr="00A2089C">
        <w:rPr>
          <w:rFonts w:ascii="Arial" w:eastAsia="Arial" w:hAnsi="Arial" w:cs="Arial"/>
          <w:sz w:val="23"/>
          <w:szCs w:val="23"/>
        </w:rPr>
        <w:t>señaló lo siguiente:</w:t>
      </w:r>
      <w:r w:rsidR="00DD1B72">
        <w:rPr>
          <w:rFonts w:ascii="Arial" w:eastAsia="Arial" w:hAnsi="Arial" w:cs="Arial"/>
          <w:sz w:val="23"/>
          <w:szCs w:val="23"/>
        </w:rPr>
        <w:t xml:space="preserve"> </w:t>
      </w:r>
    </w:p>
    <w:p w14:paraId="00000092" w14:textId="77777777" w:rsidR="008477E2" w:rsidRDefault="00204519">
      <w:pPr>
        <w:pStyle w:val="Normal0"/>
        <w:pBdr>
          <w:top w:val="nil"/>
          <w:left w:val="nil"/>
          <w:bottom w:val="nil"/>
          <w:right w:val="nil"/>
          <w:between w:val="nil"/>
        </w:pBdr>
        <w:spacing w:after="0" w:line="240" w:lineRule="auto"/>
        <w:ind w:right="51"/>
        <w:jc w:val="both"/>
        <w:rPr>
          <w:rFonts w:ascii="Arial" w:eastAsia="Arial" w:hAnsi="Arial" w:cs="Arial"/>
          <w:b/>
          <w:color w:val="000000"/>
        </w:rPr>
      </w:pPr>
      <w:r>
        <w:rPr>
          <w:rFonts w:ascii="Arial" w:eastAsia="Arial" w:hAnsi="Arial" w:cs="Arial"/>
          <w:b/>
          <w:color w:val="000000"/>
        </w:rPr>
        <w:t xml:space="preserve"> </w:t>
      </w:r>
    </w:p>
    <w:p w14:paraId="00000093" w14:textId="77777777" w:rsidR="008477E2" w:rsidRDefault="00204519">
      <w:pPr>
        <w:pStyle w:val="Normal0"/>
        <w:numPr>
          <w:ilvl w:val="0"/>
          <w:numId w:val="1"/>
        </w:numPr>
        <w:spacing w:after="0" w:line="240" w:lineRule="auto"/>
        <w:ind w:left="0" w:right="51" w:firstLine="0"/>
        <w:jc w:val="both"/>
        <w:rPr>
          <w:rFonts w:ascii="Arial" w:eastAsia="Arial" w:hAnsi="Arial" w:cs="Arial"/>
          <w:b/>
          <w:sz w:val="23"/>
          <w:szCs w:val="23"/>
        </w:rPr>
      </w:pPr>
      <w:r>
        <w:rPr>
          <w:rFonts w:ascii="Arial" w:eastAsia="Arial" w:hAnsi="Arial" w:cs="Arial"/>
          <w:b/>
          <w:sz w:val="23"/>
          <w:szCs w:val="23"/>
        </w:rPr>
        <w:t>Análisis de impacto, disponibilidad presupuestal</w:t>
      </w:r>
    </w:p>
    <w:p w14:paraId="00000094" w14:textId="77777777" w:rsidR="008477E2" w:rsidRDefault="008477E2">
      <w:pPr>
        <w:pStyle w:val="Normal0"/>
        <w:spacing w:after="0" w:line="240" w:lineRule="auto"/>
        <w:ind w:right="51"/>
        <w:jc w:val="both"/>
        <w:rPr>
          <w:rFonts w:ascii="Arial" w:eastAsia="Arial" w:hAnsi="Arial" w:cs="Arial"/>
          <w:b/>
          <w:sz w:val="23"/>
          <w:szCs w:val="23"/>
        </w:rPr>
      </w:pPr>
    </w:p>
    <w:p w14:paraId="5F364D0C" w14:textId="4FEF1050" w:rsidR="003707F8" w:rsidRPr="00DB68B8" w:rsidRDefault="00204519">
      <w:pPr>
        <w:pStyle w:val="Normal0"/>
        <w:pBdr>
          <w:top w:val="nil"/>
          <w:left w:val="nil"/>
          <w:bottom w:val="nil"/>
          <w:right w:val="nil"/>
          <w:between w:val="nil"/>
        </w:pBdr>
        <w:spacing w:after="0" w:line="240" w:lineRule="auto"/>
        <w:ind w:right="51"/>
        <w:jc w:val="both"/>
        <w:rPr>
          <w:rFonts w:ascii="Arial" w:eastAsia="Arial" w:hAnsi="Arial" w:cs="Arial"/>
          <w:color w:val="000000"/>
          <w:sz w:val="23"/>
          <w:szCs w:val="23"/>
        </w:rPr>
      </w:pPr>
      <w:r w:rsidRPr="00DB68B8">
        <w:rPr>
          <w:rFonts w:ascii="Arial" w:eastAsia="Arial" w:hAnsi="Arial" w:cs="Arial"/>
          <w:color w:val="000000"/>
          <w:sz w:val="23"/>
          <w:szCs w:val="23"/>
        </w:rPr>
        <w:t xml:space="preserve">La expedición de esta resolución </w:t>
      </w:r>
      <w:r w:rsidR="00926FA9" w:rsidRPr="00DB68B8">
        <w:rPr>
          <w:rFonts w:ascii="Arial" w:eastAsia="Arial" w:hAnsi="Arial" w:cs="Arial"/>
          <w:color w:val="000000"/>
          <w:sz w:val="23"/>
          <w:szCs w:val="23"/>
        </w:rPr>
        <w:t>permit</w:t>
      </w:r>
      <w:r w:rsidR="005955C6" w:rsidRPr="00DB68B8">
        <w:rPr>
          <w:rFonts w:ascii="Arial" w:eastAsia="Arial" w:hAnsi="Arial" w:cs="Arial"/>
          <w:color w:val="000000"/>
          <w:sz w:val="23"/>
          <w:szCs w:val="23"/>
        </w:rPr>
        <w:t xml:space="preserve">e definir la forma en la cual </w:t>
      </w:r>
      <w:r w:rsidR="00132F43" w:rsidRPr="00DB68B8">
        <w:rPr>
          <w:rFonts w:ascii="Arial" w:eastAsia="Arial" w:hAnsi="Arial" w:cs="Arial"/>
          <w:color w:val="000000"/>
          <w:sz w:val="23"/>
          <w:szCs w:val="23"/>
        </w:rPr>
        <w:t>las entidades</w:t>
      </w:r>
      <w:r w:rsidR="003707F8" w:rsidRPr="00DB68B8">
        <w:rPr>
          <w:rFonts w:ascii="Arial" w:eastAsia="Arial" w:hAnsi="Arial" w:cs="Arial"/>
          <w:color w:val="000000"/>
          <w:sz w:val="23"/>
          <w:szCs w:val="23"/>
        </w:rPr>
        <w:t xml:space="preserve"> aplicarán los </w:t>
      </w:r>
      <w:r w:rsidR="00DB68B8">
        <w:rPr>
          <w:rFonts w:ascii="Arial" w:eastAsia="Arial" w:hAnsi="Arial" w:cs="Arial"/>
          <w:color w:val="000000"/>
          <w:sz w:val="23"/>
          <w:szCs w:val="23"/>
        </w:rPr>
        <w:t xml:space="preserve">nuevos </w:t>
      </w:r>
      <w:r w:rsidR="003707F8" w:rsidRPr="00DB68B8">
        <w:rPr>
          <w:rFonts w:ascii="Arial" w:eastAsia="Arial" w:hAnsi="Arial" w:cs="Arial"/>
          <w:color w:val="000000"/>
          <w:sz w:val="23"/>
          <w:szCs w:val="23"/>
        </w:rPr>
        <w:t>factores de desempate previsto</w:t>
      </w:r>
      <w:r w:rsidR="00DB68B8">
        <w:rPr>
          <w:rFonts w:ascii="Arial" w:eastAsia="Arial" w:hAnsi="Arial" w:cs="Arial"/>
          <w:color w:val="000000"/>
          <w:sz w:val="23"/>
          <w:szCs w:val="23"/>
        </w:rPr>
        <w:t>s</w:t>
      </w:r>
      <w:r w:rsidR="003707F8" w:rsidRPr="00DB68B8">
        <w:rPr>
          <w:rFonts w:ascii="Arial" w:eastAsia="Arial" w:hAnsi="Arial" w:cs="Arial"/>
          <w:color w:val="000000"/>
          <w:sz w:val="23"/>
          <w:szCs w:val="23"/>
        </w:rPr>
        <w:t xml:space="preserve"> en el artículo 35 de la Ley 2069 de 2020. Asimismo, </w:t>
      </w:r>
      <w:r w:rsidR="00DB68B8">
        <w:rPr>
          <w:rFonts w:ascii="Arial" w:eastAsia="Arial" w:hAnsi="Arial" w:cs="Arial"/>
          <w:color w:val="000000"/>
          <w:sz w:val="23"/>
          <w:szCs w:val="23"/>
        </w:rPr>
        <w:t>con la modificación a la «</w:t>
      </w:r>
      <w:r w:rsidR="003707F8" w:rsidRPr="00DB68B8">
        <w:rPr>
          <w:rFonts w:ascii="Arial" w:eastAsia="Arial" w:hAnsi="Arial" w:cs="Arial"/>
          <w:color w:val="000000"/>
          <w:sz w:val="23"/>
          <w:szCs w:val="23"/>
        </w:rPr>
        <w:t>Matriz 1 – Experiencia</w:t>
      </w:r>
      <w:r w:rsidR="00DB68B8">
        <w:rPr>
          <w:rFonts w:ascii="Arial" w:eastAsia="Arial" w:hAnsi="Arial" w:cs="Arial"/>
          <w:color w:val="000000"/>
          <w:sz w:val="23"/>
          <w:szCs w:val="23"/>
        </w:rPr>
        <w:t>»</w:t>
      </w:r>
      <w:r w:rsidR="003707F8" w:rsidRPr="00DB68B8">
        <w:rPr>
          <w:rFonts w:ascii="Arial" w:eastAsia="Arial" w:hAnsi="Arial" w:cs="Arial"/>
          <w:color w:val="000000"/>
          <w:sz w:val="23"/>
          <w:szCs w:val="23"/>
        </w:rPr>
        <w:t xml:space="preserve"> para garantizar la idoneidad del </w:t>
      </w:r>
      <w:r w:rsidR="00DB68B8">
        <w:rPr>
          <w:rFonts w:ascii="Arial" w:eastAsia="Arial" w:hAnsi="Arial" w:cs="Arial"/>
          <w:color w:val="000000"/>
          <w:sz w:val="23"/>
          <w:szCs w:val="23"/>
        </w:rPr>
        <w:t xml:space="preserve">futuro </w:t>
      </w:r>
      <w:r w:rsidR="003707F8" w:rsidRPr="00DB68B8">
        <w:rPr>
          <w:rFonts w:ascii="Arial" w:eastAsia="Arial" w:hAnsi="Arial" w:cs="Arial"/>
          <w:color w:val="000000"/>
          <w:sz w:val="23"/>
          <w:szCs w:val="23"/>
        </w:rPr>
        <w:t xml:space="preserve">en los proyectos </w:t>
      </w:r>
      <w:r w:rsidR="00DB68B8">
        <w:rPr>
          <w:rFonts w:ascii="Arial" w:eastAsia="Arial" w:hAnsi="Arial" w:cs="Arial"/>
          <w:color w:val="000000"/>
          <w:sz w:val="23"/>
          <w:szCs w:val="23"/>
        </w:rPr>
        <w:t>de obra pública del sector transporte.</w:t>
      </w:r>
    </w:p>
    <w:p w14:paraId="00000096" w14:textId="7B64A5B7" w:rsidR="008477E2" w:rsidRPr="00DB68B8" w:rsidRDefault="00926FA9">
      <w:pPr>
        <w:pStyle w:val="Normal0"/>
        <w:pBdr>
          <w:top w:val="nil"/>
          <w:left w:val="nil"/>
          <w:bottom w:val="nil"/>
          <w:right w:val="nil"/>
          <w:between w:val="nil"/>
        </w:pBdr>
        <w:spacing w:after="0" w:line="240" w:lineRule="auto"/>
        <w:ind w:right="51"/>
        <w:jc w:val="both"/>
        <w:rPr>
          <w:rFonts w:ascii="Arial" w:eastAsia="Arial" w:hAnsi="Arial" w:cs="Arial"/>
          <w:color w:val="000000"/>
          <w:sz w:val="23"/>
          <w:szCs w:val="23"/>
        </w:rPr>
      </w:pPr>
      <w:r w:rsidRPr="00DB68B8">
        <w:rPr>
          <w:rFonts w:ascii="Arial" w:eastAsia="Arial" w:hAnsi="Arial" w:cs="Arial"/>
          <w:color w:val="000000"/>
          <w:sz w:val="23"/>
          <w:szCs w:val="23"/>
        </w:rPr>
        <w:t xml:space="preserve"> </w:t>
      </w:r>
    </w:p>
    <w:p w14:paraId="00000097" w14:textId="0CA977FF" w:rsidR="008477E2" w:rsidRPr="00DB68B8" w:rsidRDefault="00DB68B8">
      <w:pPr>
        <w:pStyle w:val="Normal0"/>
        <w:tabs>
          <w:tab w:val="left" w:pos="284"/>
        </w:tabs>
        <w:spacing w:line="240" w:lineRule="auto"/>
        <w:jc w:val="both"/>
        <w:rPr>
          <w:rFonts w:ascii="Arial" w:eastAsia="Arial" w:hAnsi="Arial" w:cs="Arial"/>
          <w:sz w:val="23"/>
          <w:szCs w:val="23"/>
        </w:rPr>
      </w:pPr>
      <w:r>
        <w:rPr>
          <w:rFonts w:ascii="Arial" w:eastAsia="Arial" w:hAnsi="Arial" w:cs="Arial"/>
          <w:sz w:val="23"/>
          <w:szCs w:val="23"/>
        </w:rPr>
        <w:t xml:space="preserve">Por tanto, </w:t>
      </w:r>
      <w:r w:rsidR="6BE64FC9" w:rsidRPr="6CB76B80">
        <w:rPr>
          <w:rFonts w:ascii="Arial" w:eastAsia="Arial" w:hAnsi="Arial" w:cs="Arial"/>
          <w:sz w:val="23"/>
          <w:szCs w:val="23"/>
        </w:rPr>
        <w:t>no</w:t>
      </w:r>
      <w:r w:rsidR="00204519" w:rsidRPr="00DB68B8">
        <w:rPr>
          <w:rFonts w:ascii="Arial" w:eastAsia="Arial" w:hAnsi="Arial" w:cs="Arial"/>
          <w:sz w:val="23"/>
          <w:szCs w:val="23"/>
        </w:rPr>
        <w:t xml:space="preserve"> es necesario disponer de tiempo ni de </w:t>
      </w:r>
      <w:r w:rsidR="3F199195" w:rsidRPr="6CB76B80">
        <w:rPr>
          <w:rFonts w:ascii="Arial" w:eastAsia="Arial" w:hAnsi="Arial" w:cs="Arial"/>
          <w:sz w:val="23"/>
          <w:szCs w:val="23"/>
        </w:rPr>
        <w:t>medios</w:t>
      </w:r>
      <w:r w:rsidR="00204519" w:rsidRPr="00DB68B8">
        <w:rPr>
          <w:rFonts w:ascii="Arial" w:eastAsia="Arial" w:hAnsi="Arial" w:cs="Arial"/>
          <w:sz w:val="23"/>
          <w:szCs w:val="23"/>
        </w:rPr>
        <w:t>, por parte del Ministerio de Hacienda y Crédito Público, para que los destinatarios del proyecto de resolución apliquen su contenido.</w:t>
      </w:r>
    </w:p>
    <w:p w14:paraId="00000099" w14:textId="467B6F8A" w:rsidR="008477E2" w:rsidRDefault="00204519">
      <w:pPr>
        <w:pStyle w:val="Normal0"/>
        <w:tabs>
          <w:tab w:val="left" w:pos="284"/>
        </w:tabs>
        <w:spacing w:line="240" w:lineRule="auto"/>
        <w:jc w:val="both"/>
        <w:rPr>
          <w:rFonts w:ascii="Arial" w:eastAsia="Arial" w:hAnsi="Arial" w:cs="Arial"/>
          <w:sz w:val="23"/>
          <w:szCs w:val="23"/>
        </w:rPr>
      </w:pPr>
      <w:r w:rsidRPr="00DB68B8">
        <w:rPr>
          <w:rFonts w:ascii="Arial" w:eastAsia="Arial" w:hAnsi="Arial" w:cs="Arial"/>
          <w:sz w:val="23"/>
          <w:szCs w:val="23"/>
        </w:rPr>
        <w:lastRenderedPageBreak/>
        <w:t xml:space="preserve">El proyecto tampoco tiene impacto en el Presupuesto General de la Nación, </w:t>
      </w:r>
      <w:r w:rsidR="0583F120" w:rsidRPr="6CB76B80">
        <w:rPr>
          <w:rFonts w:ascii="Arial" w:eastAsia="Arial" w:hAnsi="Arial" w:cs="Arial"/>
          <w:sz w:val="23"/>
          <w:szCs w:val="23"/>
        </w:rPr>
        <w:t>por lo que</w:t>
      </w:r>
      <w:r w:rsidRPr="00DB68B8">
        <w:rPr>
          <w:rFonts w:ascii="Arial" w:eastAsia="Arial" w:hAnsi="Arial" w:cs="Arial"/>
          <w:sz w:val="23"/>
          <w:szCs w:val="23"/>
        </w:rPr>
        <w:t xml:space="preserve"> no genera impacto fiscal.  </w:t>
      </w:r>
      <w:r w:rsidR="79BF289B" w:rsidRPr="6CB76B80">
        <w:rPr>
          <w:rFonts w:ascii="Arial" w:eastAsia="Arial" w:hAnsi="Arial" w:cs="Arial"/>
          <w:sz w:val="23"/>
          <w:szCs w:val="23"/>
        </w:rPr>
        <w:t xml:space="preserve">De </w:t>
      </w:r>
      <w:r w:rsidR="41750CD3" w:rsidRPr="6CB76B80">
        <w:rPr>
          <w:rFonts w:ascii="Arial" w:eastAsia="Arial" w:hAnsi="Arial" w:cs="Arial"/>
          <w:sz w:val="23"/>
          <w:szCs w:val="23"/>
        </w:rPr>
        <w:t>l</w:t>
      </w:r>
      <w:r w:rsidR="3F199195" w:rsidRPr="6CB76B80">
        <w:rPr>
          <w:rFonts w:ascii="Arial" w:eastAsia="Arial" w:hAnsi="Arial" w:cs="Arial"/>
          <w:sz w:val="23"/>
          <w:szCs w:val="23"/>
        </w:rPr>
        <w:t>a</w:t>
      </w:r>
      <w:r w:rsidRPr="00DB68B8">
        <w:rPr>
          <w:rFonts w:ascii="Arial" w:eastAsia="Arial" w:hAnsi="Arial" w:cs="Arial"/>
          <w:sz w:val="23"/>
          <w:szCs w:val="23"/>
        </w:rPr>
        <w:t xml:space="preserve"> expedición de esta resolución no </w:t>
      </w:r>
      <w:r w:rsidR="377731B7" w:rsidRPr="6CB76B80">
        <w:rPr>
          <w:rFonts w:ascii="Arial" w:eastAsia="Arial" w:hAnsi="Arial" w:cs="Arial"/>
          <w:sz w:val="23"/>
          <w:szCs w:val="23"/>
        </w:rPr>
        <w:t>se derivan</w:t>
      </w:r>
      <w:r w:rsidR="16A88242" w:rsidRPr="6CB76B80">
        <w:rPr>
          <w:rFonts w:ascii="Arial" w:eastAsia="Arial" w:hAnsi="Arial" w:cs="Arial"/>
          <w:sz w:val="23"/>
          <w:szCs w:val="23"/>
        </w:rPr>
        <w:t xml:space="preserve"> </w:t>
      </w:r>
      <w:r w:rsidR="3F199195" w:rsidRPr="6CB76B80">
        <w:rPr>
          <w:rFonts w:ascii="Arial" w:eastAsia="Arial" w:hAnsi="Arial" w:cs="Arial"/>
          <w:sz w:val="23"/>
          <w:szCs w:val="23"/>
        </w:rPr>
        <w:t>impacto</w:t>
      </w:r>
      <w:r w:rsidR="1A6CB603" w:rsidRPr="6CB76B80">
        <w:rPr>
          <w:rFonts w:ascii="Arial" w:eastAsia="Arial" w:hAnsi="Arial" w:cs="Arial"/>
          <w:sz w:val="23"/>
          <w:szCs w:val="23"/>
        </w:rPr>
        <w:t>s</w:t>
      </w:r>
      <w:r w:rsidR="3F199195" w:rsidRPr="6CB76B80">
        <w:rPr>
          <w:rFonts w:ascii="Arial" w:eastAsia="Arial" w:hAnsi="Arial" w:cs="Arial"/>
          <w:sz w:val="23"/>
          <w:szCs w:val="23"/>
        </w:rPr>
        <w:t xml:space="preserve"> ambiental</w:t>
      </w:r>
      <w:r w:rsidR="7EF22BDB" w:rsidRPr="6CB76B80">
        <w:rPr>
          <w:rFonts w:ascii="Arial" w:eastAsia="Arial" w:hAnsi="Arial" w:cs="Arial"/>
          <w:sz w:val="23"/>
          <w:szCs w:val="23"/>
        </w:rPr>
        <w:t>es</w:t>
      </w:r>
      <w:r w:rsidRPr="00DB68B8">
        <w:rPr>
          <w:rFonts w:ascii="Arial" w:eastAsia="Arial" w:hAnsi="Arial" w:cs="Arial"/>
          <w:sz w:val="23"/>
          <w:szCs w:val="23"/>
        </w:rPr>
        <w:t xml:space="preserve"> ni </w:t>
      </w:r>
      <w:r w:rsidR="3F199195" w:rsidRPr="6CB76B80">
        <w:rPr>
          <w:rFonts w:ascii="Arial" w:eastAsia="Arial" w:hAnsi="Arial" w:cs="Arial"/>
          <w:sz w:val="23"/>
          <w:szCs w:val="23"/>
        </w:rPr>
        <w:t>ecológico</w:t>
      </w:r>
      <w:r w:rsidR="5BA9379D" w:rsidRPr="6CB76B80">
        <w:rPr>
          <w:rFonts w:ascii="Arial" w:eastAsia="Arial" w:hAnsi="Arial" w:cs="Arial"/>
          <w:sz w:val="23"/>
          <w:szCs w:val="23"/>
        </w:rPr>
        <w:t>s</w:t>
      </w:r>
      <w:r w:rsidR="005D22E9">
        <w:rPr>
          <w:rFonts w:ascii="Arial" w:eastAsia="Arial" w:hAnsi="Arial" w:cs="Arial"/>
          <w:sz w:val="23"/>
          <w:szCs w:val="23"/>
        </w:rPr>
        <w:t xml:space="preserve">. </w:t>
      </w:r>
    </w:p>
    <w:tbl>
      <w:tblPr>
        <w:tblW w:w="4937" w:type="dxa"/>
        <w:tblBorders>
          <w:top w:val="nil"/>
          <w:left w:val="nil"/>
          <w:bottom w:val="nil"/>
          <w:right w:val="nil"/>
          <w:insideH w:val="nil"/>
          <w:insideV w:val="nil"/>
        </w:tblBorders>
        <w:tblLayout w:type="fixed"/>
        <w:tblLook w:val="0400" w:firstRow="0" w:lastRow="0" w:firstColumn="0" w:lastColumn="0" w:noHBand="0" w:noVBand="1"/>
      </w:tblPr>
      <w:tblGrid>
        <w:gridCol w:w="4937"/>
      </w:tblGrid>
      <w:tr w:rsidR="008477E2" w14:paraId="2E4963AB" w14:textId="77777777" w:rsidTr="00E46E82">
        <w:tc>
          <w:tcPr>
            <w:tcW w:w="4937" w:type="dxa"/>
            <w:shd w:val="clear" w:color="auto" w:fill="auto"/>
          </w:tcPr>
          <w:p w14:paraId="0000009A" w14:textId="77ED36F0" w:rsidR="008477E2" w:rsidRDefault="008477E2">
            <w:pPr>
              <w:pStyle w:val="Normal0"/>
              <w:rPr>
                <w:rFonts w:ascii="Arial" w:eastAsia="Arial" w:hAnsi="Arial" w:cs="Arial"/>
                <w:b/>
              </w:rPr>
            </w:pPr>
          </w:p>
          <w:p w14:paraId="1AF70544" w14:textId="77777777" w:rsidR="005D22E9" w:rsidRDefault="005D22E9">
            <w:pPr>
              <w:pStyle w:val="Normal0"/>
              <w:rPr>
                <w:rFonts w:ascii="Arial" w:eastAsia="Arial" w:hAnsi="Arial" w:cs="Arial"/>
                <w:b/>
              </w:rPr>
            </w:pPr>
          </w:p>
          <w:p w14:paraId="2642C493" w14:textId="77777777" w:rsidR="00506590" w:rsidRDefault="00506590">
            <w:pPr>
              <w:pStyle w:val="Normal0"/>
              <w:rPr>
                <w:rFonts w:ascii="Arial" w:eastAsia="Arial" w:hAnsi="Arial" w:cs="Arial"/>
                <w:b/>
              </w:rPr>
            </w:pPr>
          </w:p>
          <w:p w14:paraId="322E60E4" w14:textId="77777777" w:rsidR="00506590" w:rsidRDefault="00506590">
            <w:pPr>
              <w:pStyle w:val="Normal0"/>
              <w:rPr>
                <w:rFonts w:ascii="Arial" w:eastAsia="Arial" w:hAnsi="Arial" w:cs="Arial"/>
                <w:b/>
              </w:rPr>
            </w:pPr>
          </w:p>
          <w:p w14:paraId="37059DD9" w14:textId="77777777" w:rsidR="00506590" w:rsidRDefault="00506590">
            <w:pPr>
              <w:pStyle w:val="Normal0"/>
              <w:rPr>
                <w:rFonts w:ascii="Arial" w:eastAsia="Arial" w:hAnsi="Arial" w:cs="Arial"/>
                <w:b/>
              </w:rPr>
            </w:pPr>
          </w:p>
          <w:p w14:paraId="31B9053A" w14:textId="77777777" w:rsidR="00506590" w:rsidRDefault="00506590">
            <w:pPr>
              <w:pStyle w:val="Normal0"/>
              <w:rPr>
                <w:rFonts w:ascii="Arial" w:eastAsia="Arial" w:hAnsi="Arial" w:cs="Arial"/>
                <w:b/>
              </w:rPr>
            </w:pPr>
          </w:p>
          <w:p w14:paraId="0000009B" w14:textId="77777777" w:rsidR="008477E2" w:rsidRPr="008308B9" w:rsidRDefault="00204519" w:rsidP="00E46E82">
            <w:pPr>
              <w:pStyle w:val="Normal0"/>
              <w:spacing w:after="0"/>
              <w:rPr>
                <w:rFonts w:ascii="Arial" w:eastAsia="Arial" w:hAnsi="Arial" w:cs="Arial"/>
                <w:b/>
                <w:lang w:val="pt-BR"/>
              </w:rPr>
            </w:pPr>
            <w:r w:rsidRPr="008308B9">
              <w:rPr>
                <w:rFonts w:ascii="Arial" w:eastAsia="Arial" w:hAnsi="Arial" w:cs="Arial"/>
                <w:b/>
                <w:lang w:val="pt-BR"/>
              </w:rPr>
              <w:t>JOSÉ ANDRÉS O´MEARA RIVEIRA</w:t>
            </w:r>
          </w:p>
          <w:p w14:paraId="0000009C" w14:textId="77777777" w:rsidR="008477E2" w:rsidRPr="008308B9" w:rsidRDefault="00204519" w:rsidP="00E46E82">
            <w:pPr>
              <w:pStyle w:val="Normal0"/>
              <w:spacing w:after="0"/>
              <w:rPr>
                <w:rFonts w:ascii="Arial" w:eastAsia="Arial" w:hAnsi="Arial" w:cs="Arial"/>
                <w:lang w:val="pt-BR"/>
              </w:rPr>
            </w:pPr>
            <w:proofErr w:type="spellStart"/>
            <w:r w:rsidRPr="008308B9">
              <w:rPr>
                <w:rFonts w:ascii="Arial" w:eastAsia="Arial" w:hAnsi="Arial" w:cs="Arial"/>
                <w:lang w:val="pt-BR"/>
              </w:rPr>
              <w:t>Director</w:t>
            </w:r>
            <w:proofErr w:type="spellEnd"/>
            <w:r w:rsidRPr="008308B9">
              <w:rPr>
                <w:rFonts w:ascii="Arial" w:eastAsia="Arial" w:hAnsi="Arial" w:cs="Arial"/>
                <w:lang w:val="pt-BR"/>
              </w:rPr>
              <w:t xml:space="preserve"> General</w:t>
            </w:r>
          </w:p>
          <w:p w14:paraId="0000009D" w14:textId="77777777" w:rsidR="008477E2" w:rsidRDefault="00204519" w:rsidP="00E46E82">
            <w:pPr>
              <w:pStyle w:val="Normal0"/>
              <w:spacing w:after="0"/>
              <w:rPr>
                <w:rFonts w:ascii="Arial" w:eastAsia="Arial" w:hAnsi="Arial" w:cs="Arial"/>
              </w:rPr>
            </w:pPr>
            <w:r>
              <w:rPr>
                <w:rFonts w:ascii="Arial" w:eastAsia="Arial" w:hAnsi="Arial" w:cs="Arial"/>
              </w:rPr>
              <w:t>Colombia Compra Eficiente</w:t>
            </w:r>
          </w:p>
        </w:tc>
      </w:tr>
    </w:tbl>
    <w:p w14:paraId="0000009E" w14:textId="5F58A9F8" w:rsidR="008477E2" w:rsidRDefault="008477E2">
      <w:pPr>
        <w:pStyle w:val="Normal0"/>
        <w:rPr>
          <w:rFonts w:ascii="Arial" w:eastAsia="Arial" w:hAnsi="Arial" w:cs="Arial"/>
        </w:rPr>
      </w:pPr>
    </w:p>
    <w:tbl>
      <w:tblPr>
        <w:tblStyle w:val="Tablaconcuadrcula"/>
        <w:tblpPr w:leftFromText="141" w:rightFromText="141" w:vertAnchor="text" w:horzAnchor="margin" w:tblpY="13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2"/>
        <w:gridCol w:w="4413"/>
      </w:tblGrid>
      <w:tr w:rsidR="005D22E9" w:rsidRPr="005D22E9" w14:paraId="624BA28A" w14:textId="77777777" w:rsidTr="005D22E9">
        <w:trPr>
          <w:trHeight w:val="315"/>
        </w:trPr>
        <w:tc>
          <w:tcPr>
            <w:tcW w:w="812" w:type="dxa"/>
            <w:vAlign w:val="center"/>
            <w:hideMark/>
          </w:tcPr>
          <w:p w14:paraId="3E91B102"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Elaboró:</w:t>
            </w:r>
          </w:p>
        </w:tc>
        <w:tc>
          <w:tcPr>
            <w:tcW w:w="4413" w:type="dxa"/>
            <w:tcBorders>
              <w:top w:val="nil"/>
              <w:left w:val="nil"/>
              <w:bottom w:val="dotted" w:sz="4" w:space="0" w:color="7F7F7F" w:themeColor="text1" w:themeTint="80"/>
              <w:right w:val="nil"/>
            </w:tcBorders>
            <w:vAlign w:val="center"/>
            <w:hideMark/>
          </w:tcPr>
          <w:p w14:paraId="3412B9AA"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Sara Milena Nuñez Aldana</w:t>
            </w:r>
          </w:p>
          <w:p w14:paraId="4D6978C9"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 xml:space="preserve">Gestor T1-15 de la Subdirección de Gestión Contractual </w:t>
            </w:r>
          </w:p>
        </w:tc>
      </w:tr>
      <w:tr w:rsidR="005D22E9" w:rsidRPr="005D22E9" w14:paraId="0D14A165" w14:textId="77777777" w:rsidTr="005D22E9">
        <w:trPr>
          <w:trHeight w:val="300"/>
        </w:trPr>
        <w:tc>
          <w:tcPr>
            <w:tcW w:w="812" w:type="dxa"/>
            <w:vAlign w:val="center"/>
            <w:hideMark/>
          </w:tcPr>
          <w:p w14:paraId="0AA77B14"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Aprobó:</w:t>
            </w:r>
          </w:p>
        </w:tc>
        <w:tc>
          <w:tcPr>
            <w:tcW w:w="4413" w:type="dxa"/>
            <w:tcBorders>
              <w:top w:val="dotted" w:sz="4" w:space="0" w:color="7F7F7F" w:themeColor="text1" w:themeTint="80"/>
              <w:left w:val="nil"/>
              <w:bottom w:val="dotted" w:sz="4" w:space="0" w:color="7F7F7F" w:themeColor="text1" w:themeTint="80"/>
              <w:right w:val="nil"/>
            </w:tcBorders>
            <w:vAlign w:val="center"/>
            <w:hideMark/>
          </w:tcPr>
          <w:p w14:paraId="562953CE"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Jorge Augusto Tirado Navarro</w:t>
            </w:r>
          </w:p>
          <w:p w14:paraId="0A80DFC1"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Subdirector de Gestión Contractual</w:t>
            </w:r>
          </w:p>
        </w:tc>
      </w:tr>
      <w:tr w:rsidR="005D22E9" w:rsidRPr="005D22E9" w14:paraId="184A5D62" w14:textId="77777777" w:rsidTr="005D22E9">
        <w:trPr>
          <w:trHeight w:val="300"/>
        </w:trPr>
        <w:tc>
          <w:tcPr>
            <w:tcW w:w="812" w:type="dxa"/>
            <w:vAlign w:val="center"/>
            <w:hideMark/>
          </w:tcPr>
          <w:p w14:paraId="6B804E98"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Anexo:</w:t>
            </w:r>
          </w:p>
        </w:tc>
        <w:tc>
          <w:tcPr>
            <w:tcW w:w="4413" w:type="dxa"/>
            <w:tcBorders>
              <w:top w:val="dotted" w:sz="4" w:space="0" w:color="7F7F7F" w:themeColor="text1" w:themeTint="80"/>
              <w:left w:val="nil"/>
              <w:bottom w:val="dotted" w:sz="4" w:space="0" w:color="7F7F7F" w:themeColor="text1" w:themeTint="80"/>
              <w:right w:val="nil"/>
            </w:tcBorders>
            <w:vAlign w:val="center"/>
            <w:hideMark/>
          </w:tcPr>
          <w:p w14:paraId="3454122F" w14:textId="77777777" w:rsidR="005D22E9" w:rsidRPr="005D22E9" w:rsidRDefault="005D22E9" w:rsidP="005D22E9">
            <w:pPr>
              <w:rPr>
                <w:rFonts w:ascii="Arial" w:hAnsi="Arial" w:cs="Arial"/>
                <w:sz w:val="14"/>
                <w:szCs w:val="14"/>
                <w:lang w:eastAsia="es-ES"/>
              </w:rPr>
            </w:pPr>
            <w:r w:rsidRPr="005D22E9">
              <w:rPr>
                <w:rFonts w:ascii="Arial" w:hAnsi="Arial" w:cs="Arial"/>
                <w:sz w:val="14"/>
                <w:szCs w:val="14"/>
                <w:lang w:eastAsia="es-ES"/>
              </w:rPr>
              <w:t>0</w:t>
            </w:r>
          </w:p>
        </w:tc>
      </w:tr>
    </w:tbl>
    <w:p w14:paraId="000000A8" w14:textId="77777777" w:rsidR="008477E2" w:rsidRDefault="008477E2">
      <w:pPr>
        <w:pStyle w:val="Normal0"/>
        <w:rPr>
          <w:rFonts w:ascii="Arial" w:eastAsia="Arial" w:hAnsi="Arial" w:cs="Arial"/>
        </w:rPr>
      </w:pPr>
    </w:p>
    <w:sectPr w:rsidR="008477E2">
      <w:headerReference w:type="default" r:id="rId12"/>
      <w:footerReference w:type="even" r:id="rId13"/>
      <w:footerReference w:type="default" r:id="rId14"/>
      <w:headerReference w:type="first" r:id="rId15"/>
      <w:footerReference w:type="first" r:id="rId16"/>
      <w:pgSz w:w="12242" w:h="15842"/>
      <w:pgMar w:top="1701" w:right="1327" w:bottom="1701" w:left="1276" w:header="0" w:footer="11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8AD651" w14:textId="77777777" w:rsidR="009C5336" w:rsidRDefault="009C5336">
      <w:pPr>
        <w:spacing w:after="0" w:line="240" w:lineRule="auto"/>
      </w:pPr>
      <w:r>
        <w:separator/>
      </w:r>
    </w:p>
  </w:endnote>
  <w:endnote w:type="continuationSeparator" w:id="0">
    <w:p w14:paraId="35E64144" w14:textId="77777777" w:rsidR="009C5336" w:rsidRDefault="009C5336">
      <w:pPr>
        <w:spacing w:after="0" w:line="240" w:lineRule="auto"/>
      </w:pPr>
      <w:r>
        <w:continuationSeparator/>
      </w:r>
    </w:p>
  </w:endnote>
  <w:endnote w:type="continuationNotice" w:id="1">
    <w:p w14:paraId="2CEAA65D" w14:textId="77777777" w:rsidR="009C5336" w:rsidRDefault="009C53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8" w14:textId="77777777" w:rsidR="005E2E64" w:rsidRDefault="005E2E64">
    <w:pPr>
      <w:pStyle w:val="Normal0"/>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F" w14:textId="77777777" w:rsidR="005E2E64" w:rsidRDefault="005E2E64">
    <w:pPr>
      <w:pStyle w:val="Normal0"/>
      <w:pBdr>
        <w:top w:val="nil"/>
        <w:left w:val="nil"/>
        <w:bottom w:val="nil"/>
        <w:right w:val="nil"/>
        <w:between w:val="nil"/>
      </w:pBdr>
      <w:tabs>
        <w:tab w:val="center" w:pos="4419"/>
        <w:tab w:val="right" w:pos="8838"/>
      </w:tabs>
      <w:spacing w:after="0" w:line="240" w:lineRule="auto"/>
      <w:jc w:val="right"/>
      <w:rPr>
        <w:rFonts w:ascii="Times New Roman" w:eastAsia="Times New Roman" w:hAnsi="Times New Roman" w:cs="Times New Roman"/>
        <w:color w:val="000000"/>
        <w:sz w:val="24"/>
        <w:szCs w:val="24"/>
      </w:rPr>
    </w:pPr>
  </w:p>
  <w:p w14:paraId="000000C0" w14:textId="77777777" w:rsidR="005E2E64" w:rsidRDefault="005E2E64">
    <w:pPr>
      <w:pStyle w:val="Normal0"/>
      <w:pBdr>
        <w:top w:val="nil"/>
        <w:left w:val="nil"/>
        <w:bottom w:val="nil"/>
        <w:right w:val="nil"/>
        <w:between w:val="nil"/>
      </w:pBdr>
      <w:tabs>
        <w:tab w:val="center" w:pos="4419"/>
        <w:tab w:val="right" w:pos="8838"/>
      </w:tabs>
      <w:spacing w:after="0" w:line="240" w:lineRule="auto"/>
      <w:jc w:val="right"/>
      <w:rPr>
        <w:rFonts w:ascii="Times New Roman" w:eastAsia="Times New Roman" w:hAnsi="Times New Roman" w:cs="Times New Roman"/>
        <w:color w:val="000000"/>
        <w:sz w:val="24"/>
        <w:szCs w:val="24"/>
      </w:rPr>
    </w:pPr>
  </w:p>
  <w:p w14:paraId="000000C1" w14:textId="77777777" w:rsidR="005E2E64" w:rsidRDefault="005E2E64">
    <w:pPr>
      <w:pStyle w:val="Normal0"/>
      <w:pBdr>
        <w:top w:val="nil"/>
        <w:left w:val="nil"/>
        <w:bottom w:val="nil"/>
        <w:right w:val="nil"/>
        <w:between w:val="nil"/>
      </w:pBdr>
      <w:tabs>
        <w:tab w:val="center" w:pos="4419"/>
        <w:tab w:val="right" w:pos="8838"/>
      </w:tabs>
      <w:spacing w:after="0" w:line="240" w:lineRule="auto"/>
      <w:jc w:val="right"/>
      <w:rPr>
        <w:rFonts w:ascii="Times New Roman" w:eastAsia="Times New Roman" w:hAnsi="Times New Roman" w:cs="Times New Roman"/>
        <w:color w:val="000000"/>
        <w:sz w:val="24"/>
        <w:szCs w:val="24"/>
      </w:rPr>
    </w:pPr>
  </w:p>
  <w:p w14:paraId="000000C2" w14:textId="77777777" w:rsidR="005E2E64" w:rsidRDefault="005E2E64">
    <w:pPr>
      <w:pStyle w:val="Normal0"/>
      <w:pBdr>
        <w:top w:val="nil"/>
        <w:left w:val="nil"/>
        <w:bottom w:val="nil"/>
        <w:right w:val="nil"/>
        <w:between w:val="nil"/>
      </w:pBdr>
      <w:tabs>
        <w:tab w:val="center" w:pos="4419"/>
        <w:tab w:val="right" w:pos="8838"/>
      </w:tabs>
      <w:spacing w:after="0" w:line="240" w:lineRule="auto"/>
      <w:jc w:val="right"/>
      <w:rPr>
        <w:rFonts w:ascii="Times New Roman" w:eastAsia="Times New Roman" w:hAnsi="Times New Roman" w:cs="Times New Roman"/>
        <w:color w:val="000000"/>
        <w:sz w:val="24"/>
        <w:szCs w:val="24"/>
      </w:rPr>
    </w:pPr>
    <w:r>
      <w:rPr>
        <w:noProof/>
      </w:rPr>
      <w:drawing>
        <wp:anchor distT="0" distB="0" distL="114300" distR="114300" simplePos="0" relativeHeight="251658241" behindDoc="0" locked="0" layoutInCell="1" hidden="0" allowOverlap="1" wp14:anchorId="55FA0AFA" wp14:editId="07777777">
          <wp:simplePos x="0" y="0"/>
          <wp:positionH relativeFrom="column">
            <wp:posOffset>84608</wp:posOffset>
          </wp:positionH>
          <wp:positionV relativeFrom="paragraph">
            <wp:posOffset>135208</wp:posOffset>
          </wp:positionV>
          <wp:extent cx="5607050" cy="362585"/>
          <wp:effectExtent l="0" t="0" r="0" b="0"/>
          <wp:wrapNone/>
          <wp:docPr id="3"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5607050" cy="362585"/>
                  </a:xfrm>
                  <a:prstGeom prst="rect">
                    <a:avLst/>
                  </a:prstGeom>
                  <a:ln/>
                </pic:spPr>
              </pic:pic>
            </a:graphicData>
          </a:graphic>
        </wp:anchor>
      </w:drawing>
    </w:r>
  </w:p>
  <w:p w14:paraId="000000C3" w14:textId="77777777" w:rsidR="005E2E64" w:rsidRDefault="005E2E64">
    <w:pPr>
      <w:pStyle w:val="Normal0"/>
      <w:pBdr>
        <w:top w:val="nil"/>
        <w:left w:val="nil"/>
        <w:bottom w:val="nil"/>
        <w:right w:val="nil"/>
        <w:between w:val="nil"/>
      </w:pBdr>
      <w:tabs>
        <w:tab w:val="center" w:pos="4419"/>
        <w:tab w:val="right" w:pos="8838"/>
      </w:tabs>
      <w:spacing w:after="0" w:line="240" w:lineRule="auto"/>
      <w:jc w:val="right"/>
      <w:rPr>
        <w:rFonts w:ascii="Times New Roman" w:eastAsia="Times New Roman" w:hAnsi="Times New Roman" w:cs="Times New Roman"/>
        <w:color w:val="000000"/>
        <w:sz w:val="24"/>
        <w:szCs w:val="24"/>
      </w:rPr>
    </w:pPr>
  </w:p>
  <w:p w14:paraId="000000C4" w14:textId="77777777" w:rsidR="005E2E64" w:rsidRDefault="005E2E64">
    <w:pPr>
      <w:pStyle w:val="Normal0"/>
      <w:pBdr>
        <w:top w:val="nil"/>
        <w:left w:val="nil"/>
        <w:bottom w:val="nil"/>
        <w:right w:val="nil"/>
        <w:between w:val="nil"/>
      </w:pBdr>
      <w:tabs>
        <w:tab w:val="center" w:pos="4419"/>
        <w:tab w:val="right" w:pos="8838"/>
      </w:tabs>
      <w:spacing w:after="0" w:line="240" w:lineRule="auto"/>
      <w:jc w:val="right"/>
      <w:rPr>
        <w:rFonts w:ascii="Times New Roman" w:eastAsia="Times New Roman" w:hAnsi="Times New Roman" w:cs="Times New Roman"/>
        <w:color w:val="000000"/>
        <w:sz w:val="24"/>
        <w:szCs w:val="24"/>
      </w:rPr>
    </w:pPr>
  </w:p>
  <w:p w14:paraId="000000C5" w14:textId="77777777" w:rsidR="005E2E64" w:rsidRDefault="005E2E64">
    <w:pPr>
      <w:pStyle w:val="Normal0"/>
      <w:pBdr>
        <w:top w:val="nil"/>
        <w:left w:val="nil"/>
        <w:bottom w:val="nil"/>
        <w:right w:val="nil"/>
        <w:between w:val="nil"/>
      </w:pBdr>
      <w:tabs>
        <w:tab w:val="center" w:pos="4419"/>
        <w:tab w:val="right" w:pos="8838"/>
      </w:tabs>
      <w:spacing w:after="0" w:line="240" w:lineRule="auto"/>
      <w:jc w:val="right"/>
      <w:rPr>
        <w:rFonts w:ascii="Times New Roman" w:eastAsia="Times New Roman" w:hAnsi="Times New Roman" w:cs="Times New Roman"/>
        <w:color w:val="000000"/>
        <w:sz w:val="24"/>
        <w:szCs w:val="24"/>
      </w:rPr>
    </w:pPr>
  </w:p>
  <w:p w14:paraId="000000C6" w14:textId="37401CCD" w:rsidR="005E2E64" w:rsidRDefault="005E2E64">
    <w:pPr>
      <w:pStyle w:val="Normal0"/>
      <w:pBdr>
        <w:top w:val="nil"/>
        <w:left w:val="nil"/>
        <w:bottom w:val="nil"/>
        <w:right w:val="nil"/>
        <w:between w:val="nil"/>
      </w:pBdr>
      <w:tabs>
        <w:tab w:val="center" w:pos="4419"/>
        <w:tab w:val="right" w:pos="8838"/>
      </w:tabs>
      <w:spacing w:before="240"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000000C7" w14:textId="77777777" w:rsidR="005E2E64" w:rsidRDefault="005E2E64">
    <w:pPr>
      <w:pStyle w:val="Normal0"/>
      <w:pBdr>
        <w:top w:val="nil"/>
        <w:left w:val="nil"/>
        <w:bottom w:val="nil"/>
        <w:right w:val="nil"/>
        <w:between w:val="nil"/>
      </w:pBdr>
      <w:tabs>
        <w:tab w:val="center" w:pos="4419"/>
        <w:tab w:val="right" w:pos="8838"/>
      </w:tabs>
      <w:spacing w:after="0" w:line="240" w:lineRule="auto"/>
      <w:rPr>
        <w:rFonts w:ascii="Arial Narrow" w:eastAsia="Arial Narrow" w:hAnsi="Arial Narrow" w:cs="Arial Narrow"/>
        <w:color w:val="000000"/>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C9" w14:textId="77777777" w:rsidR="005E2E64" w:rsidRDefault="005E2E64">
    <w:pPr>
      <w:pStyle w:val="Normal0"/>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2D67F" w14:textId="77777777" w:rsidR="009C5336" w:rsidRDefault="009C5336">
      <w:pPr>
        <w:spacing w:after="0" w:line="240" w:lineRule="auto"/>
      </w:pPr>
      <w:r>
        <w:separator/>
      </w:r>
    </w:p>
  </w:footnote>
  <w:footnote w:type="continuationSeparator" w:id="0">
    <w:p w14:paraId="1D69819C" w14:textId="77777777" w:rsidR="009C5336" w:rsidRDefault="009C5336">
      <w:pPr>
        <w:spacing w:after="0" w:line="240" w:lineRule="auto"/>
      </w:pPr>
      <w:r>
        <w:continuationSeparator/>
      </w:r>
    </w:p>
  </w:footnote>
  <w:footnote w:type="continuationNotice" w:id="1">
    <w:p w14:paraId="0F4718D0" w14:textId="77777777" w:rsidR="009C5336" w:rsidRDefault="009C5336">
      <w:pPr>
        <w:spacing w:after="0" w:line="240" w:lineRule="auto"/>
      </w:pPr>
    </w:p>
  </w:footnote>
  <w:footnote w:id="2">
    <w:p w14:paraId="75B35266" w14:textId="77777777" w:rsidR="005E2E64" w:rsidRDefault="005E2E64" w:rsidP="00DD1B72">
      <w:pPr>
        <w:pStyle w:val="NormalWeb"/>
        <w:spacing w:before="0" w:beforeAutospacing="0" w:after="0" w:afterAutospacing="0"/>
        <w:ind w:firstLine="709"/>
        <w:jc w:val="both"/>
        <w:rPr>
          <w:rFonts w:ascii="Arial" w:eastAsia="Arial" w:hAnsi="Arial" w:cs="Arial"/>
          <w:sz w:val="19"/>
          <w:szCs w:val="19"/>
          <w:highlight w:val="white"/>
          <w:lang w:val="es-ES"/>
        </w:rPr>
      </w:pPr>
      <w:r>
        <w:rPr>
          <w:vertAlign w:val="superscript"/>
        </w:rPr>
        <w:footnoteRef/>
      </w:r>
      <w:r>
        <w:rPr>
          <w:rFonts w:ascii="Arial" w:eastAsia="Arial" w:hAnsi="Arial" w:cs="Arial"/>
          <w:sz w:val="18"/>
          <w:szCs w:val="18"/>
        </w:rPr>
        <w:t xml:space="preserve"> </w:t>
      </w:r>
      <w:r w:rsidRPr="00DD1B72">
        <w:rPr>
          <w:rFonts w:ascii="Arial" w:eastAsia="Arial" w:hAnsi="Arial" w:cs="Arial"/>
          <w:sz w:val="19"/>
          <w:szCs w:val="19"/>
          <w:highlight w:val="white"/>
          <w:lang w:val="es-ES"/>
        </w:rPr>
        <w:t>Ley 2069 de 2020 «</w:t>
      </w:r>
      <w:r w:rsidRPr="00DD1B72">
        <w:rPr>
          <w:rFonts w:ascii="Arial" w:eastAsia="Arial" w:hAnsi="Arial" w:cs="Arial"/>
          <w:i/>
          <w:iCs/>
          <w:sz w:val="19"/>
          <w:szCs w:val="19"/>
          <w:highlight w:val="white"/>
          <w:lang w:val="es-ES"/>
        </w:rPr>
        <w:t xml:space="preserve">Artículo 1. </w:t>
      </w:r>
      <w:bookmarkStart w:id="1" w:name="1"/>
      <w:r w:rsidRPr="00DD1B72">
        <w:rPr>
          <w:rFonts w:ascii="Arial" w:eastAsia="Arial" w:hAnsi="Arial" w:cs="Arial"/>
          <w:i/>
          <w:iCs/>
          <w:sz w:val="19"/>
          <w:szCs w:val="19"/>
          <w:highlight w:val="white"/>
          <w:lang w:val="es-ES"/>
        </w:rPr>
        <w:t>Objeto</w:t>
      </w:r>
      <w:r w:rsidRPr="00DD1B72">
        <w:rPr>
          <w:rFonts w:ascii="Arial" w:eastAsia="Arial" w:hAnsi="Arial" w:cs="Arial"/>
          <w:sz w:val="19"/>
          <w:szCs w:val="19"/>
          <w:highlight w:val="white"/>
          <w:lang w:val="es-ES"/>
        </w:rPr>
        <w:t>.</w:t>
      </w:r>
      <w:bookmarkEnd w:id="1"/>
      <w:r w:rsidRPr="00DD1B72">
        <w:rPr>
          <w:rFonts w:ascii="Arial" w:eastAsia="Arial" w:hAnsi="Arial" w:cs="Arial"/>
          <w:sz w:val="19"/>
          <w:szCs w:val="19"/>
          <w:highlight w:val="white"/>
          <w:lang w:val="es-ES"/>
        </w:rPr>
        <w:t> La presente Ley tiene por objeto establecer un marco regulatorio que propicie el emprendimiento y el crecimiento, consolidación y sostenibilidad de las empresas, con el fin de aumentar el bienestar social y generar equidad.</w:t>
      </w:r>
    </w:p>
    <w:p w14:paraId="688F5D74" w14:textId="30F099C5" w:rsidR="005E2E64" w:rsidRPr="00DD1B72" w:rsidRDefault="005E2E64" w:rsidP="00DD1B72">
      <w:pPr>
        <w:pStyle w:val="NormalWeb"/>
        <w:spacing w:before="0" w:beforeAutospacing="0" w:after="0" w:afterAutospacing="0" w:line="270" w:lineRule="atLeast"/>
        <w:ind w:firstLine="709"/>
        <w:jc w:val="both"/>
        <w:rPr>
          <w:rFonts w:ascii="Arial" w:eastAsia="Arial" w:hAnsi="Arial" w:cs="Arial"/>
          <w:sz w:val="19"/>
          <w:szCs w:val="19"/>
          <w:highlight w:val="white"/>
        </w:rPr>
      </w:pPr>
      <w:proofErr w:type="gramStart"/>
      <w:r>
        <w:rPr>
          <w:rFonts w:ascii="Arial" w:eastAsia="Arial" w:hAnsi="Arial" w:cs="Arial"/>
          <w:sz w:val="19"/>
          <w:szCs w:val="19"/>
          <w:highlight w:val="white"/>
          <w:lang w:val="es-ES"/>
        </w:rPr>
        <w:t>»</w:t>
      </w:r>
      <w:r w:rsidRPr="00DD1B72">
        <w:rPr>
          <w:rFonts w:ascii="Arial" w:eastAsia="Arial" w:hAnsi="Arial" w:cs="Arial"/>
          <w:sz w:val="19"/>
          <w:szCs w:val="19"/>
          <w:highlight w:val="white"/>
          <w:lang w:val="es-ES"/>
        </w:rPr>
        <w:t>Dicho</w:t>
      </w:r>
      <w:proofErr w:type="gramEnd"/>
      <w:r w:rsidRPr="00DD1B72">
        <w:rPr>
          <w:rFonts w:ascii="Arial" w:eastAsia="Arial" w:hAnsi="Arial" w:cs="Arial"/>
          <w:sz w:val="19"/>
          <w:szCs w:val="19"/>
          <w:highlight w:val="white"/>
          <w:lang w:val="es-ES"/>
        </w:rPr>
        <w:t xml:space="preserve"> marco delineará un enfoque regionalizado de acuerdo a las realidades socioeconómicos de cada región</w:t>
      </w:r>
      <w:r>
        <w:rPr>
          <w:rFonts w:ascii="Arial" w:eastAsia="Arial" w:hAnsi="Arial" w:cs="Arial"/>
          <w:sz w:val="19"/>
          <w:szCs w:val="19"/>
          <w:highlight w:val="white"/>
          <w:lang w:val="es-ES"/>
        </w:rPr>
        <w:t>»</w:t>
      </w:r>
      <w:r w:rsidRPr="00DD1B72">
        <w:rPr>
          <w:rFonts w:ascii="Arial" w:eastAsia="Arial" w:hAnsi="Arial" w:cs="Arial"/>
          <w:sz w:val="19"/>
          <w:szCs w:val="19"/>
          <w:highlight w:val="white"/>
          <w:lang w:val="es-ES"/>
        </w:rPr>
        <w:t>.</w:t>
      </w:r>
    </w:p>
    <w:p w14:paraId="000000D5" w14:textId="77777777" w:rsidR="005E2E64" w:rsidRDefault="005E2E64" w:rsidP="00DD1B72">
      <w:pPr>
        <w:pStyle w:val="NormalWeb"/>
        <w:spacing w:before="0" w:beforeAutospacing="0" w:after="0" w:afterAutospacing="0"/>
        <w:ind w:firstLine="709"/>
        <w:rPr>
          <w:rFonts w:ascii="Arial" w:eastAsia="Arial" w:hAnsi="Arial" w:cs="Arial"/>
          <w:sz w:val="18"/>
          <w:szCs w:val="18"/>
        </w:rPr>
      </w:pPr>
    </w:p>
  </w:footnote>
  <w:footnote w:id="3">
    <w:p w14:paraId="000000CA" w14:textId="77777777" w:rsidR="005E2E64" w:rsidRDefault="005E2E64">
      <w:pPr>
        <w:pStyle w:val="Normal0"/>
        <w:spacing w:after="0" w:line="240" w:lineRule="auto"/>
        <w:ind w:firstLine="709"/>
        <w:jc w:val="both"/>
        <w:rPr>
          <w:rFonts w:ascii="Arial" w:eastAsia="Arial" w:hAnsi="Arial" w:cs="Arial"/>
          <w:sz w:val="19"/>
          <w:szCs w:val="19"/>
        </w:rPr>
      </w:pPr>
      <w:r>
        <w:rPr>
          <w:vertAlign w:val="superscript"/>
        </w:rPr>
        <w:footnoteRef/>
      </w:r>
      <w:r>
        <w:rPr>
          <w:rFonts w:ascii="Arial" w:eastAsia="Arial" w:hAnsi="Arial" w:cs="Arial"/>
          <w:sz w:val="19"/>
          <w:szCs w:val="19"/>
        </w:rPr>
        <w:t xml:space="preserve"> Artículos 2 al 29.</w:t>
      </w:r>
    </w:p>
    <w:p w14:paraId="000000CB" w14:textId="77777777" w:rsidR="005E2E64" w:rsidRDefault="005E2E64">
      <w:pPr>
        <w:pStyle w:val="Normal0"/>
        <w:spacing w:after="0" w:line="240" w:lineRule="auto"/>
        <w:ind w:firstLine="709"/>
        <w:jc w:val="both"/>
        <w:rPr>
          <w:rFonts w:ascii="Arial" w:eastAsia="Arial" w:hAnsi="Arial" w:cs="Arial"/>
          <w:sz w:val="19"/>
          <w:szCs w:val="19"/>
        </w:rPr>
      </w:pPr>
    </w:p>
  </w:footnote>
  <w:footnote w:id="4">
    <w:p w14:paraId="000000CC" w14:textId="77777777" w:rsidR="005E2E64" w:rsidRDefault="005E2E64">
      <w:pPr>
        <w:pStyle w:val="Normal0"/>
        <w:spacing w:after="0" w:line="240" w:lineRule="auto"/>
        <w:ind w:firstLine="709"/>
        <w:jc w:val="both"/>
        <w:rPr>
          <w:rFonts w:ascii="Arial" w:eastAsia="Arial" w:hAnsi="Arial" w:cs="Arial"/>
          <w:sz w:val="19"/>
          <w:szCs w:val="19"/>
        </w:rPr>
      </w:pPr>
      <w:r>
        <w:rPr>
          <w:vertAlign w:val="superscript"/>
        </w:rPr>
        <w:footnoteRef/>
      </w:r>
      <w:r>
        <w:rPr>
          <w:rFonts w:ascii="Arial" w:eastAsia="Arial" w:hAnsi="Arial" w:cs="Arial"/>
          <w:sz w:val="19"/>
          <w:szCs w:val="19"/>
        </w:rPr>
        <w:t xml:space="preserve"> Artículos 30 al 36.</w:t>
      </w:r>
    </w:p>
    <w:p w14:paraId="000000CD" w14:textId="77777777" w:rsidR="005E2E64" w:rsidRDefault="005E2E64">
      <w:pPr>
        <w:pStyle w:val="Normal0"/>
        <w:spacing w:after="0" w:line="240" w:lineRule="auto"/>
        <w:ind w:firstLine="709"/>
        <w:jc w:val="both"/>
        <w:rPr>
          <w:rFonts w:ascii="Arial" w:eastAsia="Arial" w:hAnsi="Arial" w:cs="Arial"/>
          <w:sz w:val="19"/>
          <w:szCs w:val="19"/>
        </w:rPr>
      </w:pPr>
    </w:p>
  </w:footnote>
  <w:footnote w:id="5">
    <w:p w14:paraId="000000CE" w14:textId="77777777" w:rsidR="005E2E64" w:rsidRDefault="005E2E64">
      <w:pPr>
        <w:pStyle w:val="Normal0"/>
        <w:spacing w:after="0" w:line="240" w:lineRule="auto"/>
        <w:ind w:firstLine="709"/>
        <w:jc w:val="both"/>
        <w:rPr>
          <w:rFonts w:ascii="Arial" w:eastAsia="Arial" w:hAnsi="Arial" w:cs="Arial"/>
          <w:sz w:val="19"/>
          <w:szCs w:val="19"/>
        </w:rPr>
      </w:pPr>
      <w:r>
        <w:rPr>
          <w:vertAlign w:val="superscript"/>
        </w:rPr>
        <w:footnoteRef/>
      </w:r>
      <w:r>
        <w:rPr>
          <w:rFonts w:ascii="Arial" w:eastAsia="Arial" w:hAnsi="Arial" w:cs="Arial"/>
          <w:sz w:val="19"/>
          <w:szCs w:val="19"/>
        </w:rPr>
        <w:t xml:space="preserve"> Artículos 37 al 45.</w:t>
      </w:r>
    </w:p>
    <w:p w14:paraId="000000CF" w14:textId="77777777" w:rsidR="005E2E64" w:rsidRDefault="005E2E64">
      <w:pPr>
        <w:pStyle w:val="Normal0"/>
        <w:spacing w:after="0" w:line="240" w:lineRule="auto"/>
        <w:ind w:firstLine="709"/>
        <w:jc w:val="both"/>
        <w:rPr>
          <w:rFonts w:ascii="Arial" w:eastAsia="Arial" w:hAnsi="Arial" w:cs="Arial"/>
          <w:sz w:val="19"/>
          <w:szCs w:val="19"/>
        </w:rPr>
      </w:pPr>
    </w:p>
  </w:footnote>
  <w:footnote w:id="6">
    <w:p w14:paraId="000000D0" w14:textId="77777777" w:rsidR="005E2E64" w:rsidRDefault="005E2E64">
      <w:pPr>
        <w:pStyle w:val="Normal0"/>
        <w:spacing w:after="0" w:line="240" w:lineRule="auto"/>
        <w:ind w:firstLine="709"/>
        <w:jc w:val="both"/>
        <w:rPr>
          <w:rFonts w:ascii="Arial" w:eastAsia="Arial" w:hAnsi="Arial" w:cs="Arial"/>
          <w:sz w:val="19"/>
          <w:szCs w:val="19"/>
        </w:rPr>
      </w:pPr>
      <w:r>
        <w:rPr>
          <w:vertAlign w:val="superscript"/>
        </w:rPr>
        <w:footnoteRef/>
      </w:r>
      <w:r>
        <w:rPr>
          <w:rFonts w:ascii="Arial" w:eastAsia="Arial" w:hAnsi="Arial" w:cs="Arial"/>
          <w:sz w:val="19"/>
          <w:szCs w:val="19"/>
        </w:rPr>
        <w:t xml:space="preserve"> Artículos 46 al 73.</w:t>
      </w:r>
    </w:p>
    <w:p w14:paraId="000000D1" w14:textId="77777777" w:rsidR="005E2E64" w:rsidRDefault="005E2E64">
      <w:pPr>
        <w:pStyle w:val="Normal0"/>
        <w:spacing w:after="0" w:line="240" w:lineRule="auto"/>
        <w:ind w:firstLine="709"/>
        <w:jc w:val="both"/>
        <w:rPr>
          <w:rFonts w:ascii="Arial" w:eastAsia="Arial" w:hAnsi="Arial" w:cs="Arial"/>
          <w:sz w:val="19"/>
          <w:szCs w:val="19"/>
        </w:rPr>
      </w:pPr>
    </w:p>
  </w:footnote>
  <w:footnote w:id="7">
    <w:p w14:paraId="000000D2" w14:textId="77777777" w:rsidR="005E2E64" w:rsidRDefault="005E2E64">
      <w:pPr>
        <w:pStyle w:val="Normal0"/>
        <w:spacing w:after="0" w:line="240" w:lineRule="auto"/>
        <w:ind w:firstLine="709"/>
        <w:jc w:val="both"/>
        <w:rPr>
          <w:rFonts w:ascii="Arial" w:eastAsia="Arial" w:hAnsi="Arial" w:cs="Arial"/>
          <w:sz w:val="19"/>
          <w:szCs w:val="19"/>
        </w:rPr>
      </w:pPr>
      <w:r>
        <w:rPr>
          <w:vertAlign w:val="superscript"/>
        </w:rPr>
        <w:footnoteRef/>
      </w:r>
      <w:r>
        <w:rPr>
          <w:rFonts w:ascii="Arial" w:eastAsia="Arial" w:hAnsi="Arial" w:cs="Arial"/>
          <w:sz w:val="19"/>
          <w:szCs w:val="19"/>
        </w:rPr>
        <w:t xml:space="preserve"> Artículos 74 al 83.</w:t>
      </w:r>
    </w:p>
    <w:p w14:paraId="000000D3" w14:textId="77777777" w:rsidR="005E2E64" w:rsidRDefault="005E2E64">
      <w:pPr>
        <w:pStyle w:val="Normal0"/>
        <w:spacing w:after="0" w:line="240" w:lineRule="auto"/>
        <w:ind w:firstLine="709"/>
        <w:jc w:val="both"/>
        <w:rPr>
          <w:rFonts w:ascii="Arial" w:eastAsia="Arial" w:hAnsi="Arial" w:cs="Arial"/>
          <w:sz w:val="19"/>
          <w:szCs w:val="19"/>
        </w:rPr>
      </w:pPr>
    </w:p>
  </w:footnote>
  <w:footnote w:id="8">
    <w:p w14:paraId="000000D6" w14:textId="77777777" w:rsidR="005E2E64" w:rsidRDefault="005E2E64">
      <w:pPr>
        <w:pStyle w:val="Normal0"/>
        <w:spacing w:after="0" w:line="240" w:lineRule="auto"/>
        <w:ind w:left="708"/>
        <w:rPr>
          <w:rFonts w:ascii="Arial" w:eastAsia="Arial" w:hAnsi="Arial" w:cs="Arial"/>
          <w:sz w:val="19"/>
          <w:szCs w:val="19"/>
        </w:rPr>
      </w:pPr>
      <w:r>
        <w:rPr>
          <w:vertAlign w:val="superscript"/>
        </w:rPr>
        <w:footnoteRef/>
      </w:r>
      <w:r>
        <w:rPr>
          <w:rFonts w:ascii="Arial" w:eastAsia="Arial" w:hAnsi="Arial" w:cs="Arial"/>
          <w:sz w:val="19"/>
          <w:szCs w:val="19"/>
        </w:rPr>
        <w:t xml:space="preserve"> Gaceta del Congreso 959 del 21 de septiembre de 2020 y Gaceta del Congreso 670 del 11 de agosto de 2020. </w:t>
      </w:r>
    </w:p>
    <w:p w14:paraId="000000D7" w14:textId="77777777" w:rsidR="005E2E64" w:rsidRDefault="005E2E64">
      <w:pPr>
        <w:pStyle w:val="Normal0"/>
        <w:spacing w:after="0" w:line="240" w:lineRule="auto"/>
        <w:ind w:left="708"/>
        <w:rPr>
          <w:rFonts w:ascii="Arial" w:eastAsia="Arial" w:hAnsi="Arial" w:cs="Arial"/>
          <w:sz w:val="19"/>
          <w:szCs w:val="19"/>
        </w:rPr>
      </w:pPr>
    </w:p>
  </w:footnote>
  <w:footnote w:id="9">
    <w:p w14:paraId="000000D8" w14:textId="77777777" w:rsidR="005E2E64" w:rsidRDefault="005E2E64">
      <w:pPr>
        <w:pStyle w:val="Normal0"/>
        <w:spacing w:after="0" w:line="240" w:lineRule="auto"/>
        <w:ind w:left="708"/>
        <w:rPr>
          <w:rFonts w:ascii="Arial" w:eastAsia="Arial" w:hAnsi="Arial" w:cs="Arial"/>
          <w:sz w:val="19"/>
          <w:szCs w:val="19"/>
        </w:rPr>
      </w:pPr>
      <w:r>
        <w:rPr>
          <w:vertAlign w:val="superscript"/>
        </w:rPr>
        <w:footnoteRef/>
      </w:r>
      <w:r>
        <w:rPr>
          <w:rFonts w:ascii="Arial" w:eastAsia="Arial" w:hAnsi="Arial" w:cs="Arial"/>
          <w:sz w:val="19"/>
          <w:szCs w:val="19"/>
        </w:rPr>
        <w:t xml:space="preserve"> </w:t>
      </w:r>
      <w:proofErr w:type="spellStart"/>
      <w:r>
        <w:rPr>
          <w:rFonts w:ascii="Arial" w:eastAsia="Arial" w:hAnsi="Arial" w:cs="Arial"/>
          <w:sz w:val="19"/>
          <w:szCs w:val="19"/>
        </w:rPr>
        <w:t>Ibídem</w:t>
      </w:r>
      <w:proofErr w:type="spellEnd"/>
      <w:r>
        <w:rPr>
          <w:rFonts w:ascii="Arial" w:eastAsia="Arial" w:hAnsi="Arial" w:cs="Arial"/>
          <w:sz w:val="19"/>
          <w:szCs w:val="19"/>
        </w:rPr>
        <w:t xml:space="preserve">. </w:t>
      </w:r>
    </w:p>
  </w:footnote>
  <w:footnote w:id="10">
    <w:p w14:paraId="000000AE"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vertAlign w:val="superscript"/>
        </w:rPr>
        <w:footnoteRef/>
      </w:r>
      <w:r>
        <w:rPr>
          <w:rFonts w:ascii="Arial" w:eastAsia="Arial" w:hAnsi="Arial" w:cs="Arial"/>
          <w:color w:val="000000"/>
          <w:sz w:val="19"/>
          <w:szCs w:val="19"/>
        </w:rPr>
        <w:t xml:space="preserve"> Consejo de Estado. Sección Tercera. Sentencia del 29 de octubre de 2.015. Consejera Ponente: Stella Conto Díaz Del Castillo. Expediente: 31.918.</w:t>
      </w:r>
    </w:p>
    <w:p w14:paraId="000000AF"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p>
  </w:footnote>
  <w:footnote w:id="11">
    <w:p w14:paraId="000000B0"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vertAlign w:val="superscript"/>
        </w:rPr>
        <w:footnoteRef/>
      </w:r>
      <w:r>
        <w:rPr>
          <w:rFonts w:ascii="Arial" w:eastAsia="Arial" w:hAnsi="Arial" w:cs="Arial"/>
          <w:color w:val="000000"/>
          <w:sz w:val="19"/>
          <w:szCs w:val="19"/>
        </w:rPr>
        <w:t xml:space="preserve"> Corte Constitucional. Sentencia T-684A del 14 de septiembre de 2011. Magistrado Ponente: Mauricio González Cuervo.</w:t>
      </w:r>
    </w:p>
    <w:p w14:paraId="000000B1"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p>
  </w:footnote>
  <w:footnote w:id="12">
    <w:p w14:paraId="000000B2"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vertAlign w:val="superscript"/>
        </w:rPr>
        <w:footnoteRef/>
      </w:r>
      <w:r>
        <w:rPr>
          <w:rFonts w:ascii="Arial" w:eastAsia="Arial" w:hAnsi="Arial" w:cs="Arial"/>
          <w:color w:val="000000"/>
          <w:sz w:val="19"/>
          <w:szCs w:val="19"/>
        </w:rPr>
        <w:t xml:space="preserve"> Consejo de Estado. Sección Tercera. Sentencia del 6 de diciembre de 2.013. Consejera Ponente: Stella Conto Díaz Del Castillo. Expediente: 27.506. En efecto, el artículo 44, inciso 1º, de la Ley 80 de 1993 establece que «Los contratos del Estado son absolutamente nulos en los casos previstos en el derecho común […]», y uno de los supuestos consagrados en el derecho común es el llamado «objeto ilícito», que se presenta cuando se contrarían las normas de orden público, de conformidad con el artículo 1.519 del Código Civil. </w:t>
      </w:r>
    </w:p>
    <w:p w14:paraId="000000B3"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p>
  </w:footnote>
  <w:footnote w:id="13">
    <w:p w14:paraId="000000B4"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vertAlign w:val="superscript"/>
        </w:rPr>
        <w:footnoteRef/>
      </w:r>
      <w:r>
        <w:rPr>
          <w:rFonts w:ascii="Arial" w:eastAsia="Arial" w:hAnsi="Arial" w:cs="Arial"/>
          <w:color w:val="000000"/>
          <w:sz w:val="19"/>
          <w:szCs w:val="19"/>
        </w:rPr>
        <w:t xml:space="preserve"> En efecto, esta disposición reglamentaria indicaba: «En caso de empate en el puntaje total de dos o más ofertas, la Entidad Estatal escogerá el oferente que tenga el mayor puntaje en el primero de los factores de escogencia y calificación establecidos en los pliegos de condiciones del Proceso de Contratación. Si persiste el empate, escogerá al oferente que tenga el mayor puntaje en el segundo de los factores de escogencia y calificación establecidos en los pliegos de condiciones del Proceso de Contratación y así sucesivamente hasta agotar la totalidad de los factores de escogencia y calificación establecidos en los pliegos de condiciones.</w:t>
      </w:r>
    </w:p>
    <w:p w14:paraId="000000B5"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proofErr w:type="gramStart"/>
      <w:r>
        <w:rPr>
          <w:rFonts w:ascii="Arial" w:eastAsia="Arial" w:hAnsi="Arial" w:cs="Arial"/>
          <w:color w:val="000000"/>
          <w:sz w:val="19"/>
          <w:szCs w:val="19"/>
        </w:rPr>
        <w:t>»Si</w:t>
      </w:r>
      <w:proofErr w:type="gramEnd"/>
      <w:r>
        <w:rPr>
          <w:rFonts w:ascii="Arial" w:eastAsia="Arial" w:hAnsi="Arial" w:cs="Arial"/>
          <w:color w:val="000000"/>
          <w:sz w:val="19"/>
          <w:szCs w:val="19"/>
        </w:rPr>
        <w:t xml:space="preserve"> persiste el empate, la Entidad Estatal debe utilizar las siguientes reglas de forma sucesiva y excluyente para seleccionar el oferente favorecido, respetando los compromisos adquiridos por Acuerdos Comerciales:</w:t>
      </w:r>
    </w:p>
    <w:p w14:paraId="000000B6"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rFonts w:ascii="Arial" w:eastAsia="Arial" w:hAnsi="Arial" w:cs="Arial"/>
          <w:color w:val="000000"/>
          <w:sz w:val="19"/>
          <w:szCs w:val="19"/>
        </w:rPr>
        <w:t>»1. Preferir la oferta de bienes o servicios nacionales frente a la oferta de bienes o servicios extranjeros.</w:t>
      </w:r>
    </w:p>
    <w:p w14:paraId="000000B7"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rFonts w:ascii="Arial" w:eastAsia="Arial" w:hAnsi="Arial" w:cs="Arial"/>
          <w:color w:val="000000"/>
          <w:sz w:val="19"/>
          <w:szCs w:val="19"/>
        </w:rPr>
        <w:t>»2. Preferir las ofertas presentada por una Mipyme nacional.</w:t>
      </w:r>
    </w:p>
    <w:p w14:paraId="000000B8"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rFonts w:ascii="Arial" w:eastAsia="Arial" w:hAnsi="Arial" w:cs="Arial"/>
          <w:color w:val="000000"/>
          <w:sz w:val="19"/>
          <w:szCs w:val="19"/>
        </w:rPr>
        <w:t>»3. Preferir la oferta presentada por un consorcio, unión temporal o promesa de sociedad futura siempre que: (a) esté conformado por al menos una Mipyme nacional que tenga una participación de por lo menos el veinticinco por ciento (25%); (b) la Mipyme aporte mínimo el veinticinco por ciento (25%) de la experiencia acreditada en la oferta; y (c) ni la Mipyme, ni sus accionistas, socios o representantes legales sean empleados, socios o accionistas de los miembros del consorcio, unión temporal o promesa de sociedad futura.</w:t>
      </w:r>
    </w:p>
    <w:p w14:paraId="000000B9"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rFonts w:ascii="Arial" w:eastAsia="Arial" w:hAnsi="Arial" w:cs="Arial"/>
          <w:color w:val="000000"/>
          <w:sz w:val="19"/>
          <w:szCs w:val="19"/>
        </w:rPr>
        <w:t>»4. Preferir la propuesta presentada por el oferente que acredite en las condiciones establecidas en la ley que por lo menos el diez por ciento (10%) de su nómina está en condición de discapacidad a la que se refiere la Ley 361 de 1997. Si la oferta es presentada por un consorcio, unión temporal o promesa de sociedad futura, el integrante del oferente que acredite que el diez por ciento (10%) de su nómina está en condición de discapacidad en los términos del presente numeral, debe tener una participación de por lo menos el veinticinco por ciento (25%) en el consorcio, unión temporal o promesa de sociedad futura y aportar mínimo el veinticinco por ciento (25%) de la experiencia acreditada en la oferta.</w:t>
      </w:r>
    </w:p>
    <w:p w14:paraId="000000BA" w14:textId="77777777" w:rsidR="005E2E64" w:rsidRDefault="005E2E64">
      <w:pPr>
        <w:pStyle w:val="Normal0"/>
        <w:pBdr>
          <w:top w:val="nil"/>
          <w:left w:val="nil"/>
          <w:bottom w:val="nil"/>
          <w:right w:val="nil"/>
          <w:between w:val="nil"/>
        </w:pBdr>
        <w:spacing w:after="0" w:line="240" w:lineRule="auto"/>
        <w:ind w:firstLine="709"/>
        <w:jc w:val="both"/>
        <w:rPr>
          <w:rFonts w:ascii="Arial" w:eastAsia="Arial" w:hAnsi="Arial" w:cs="Arial"/>
          <w:color w:val="000000"/>
          <w:sz w:val="19"/>
          <w:szCs w:val="19"/>
        </w:rPr>
      </w:pPr>
      <w:r>
        <w:rPr>
          <w:rFonts w:ascii="Arial" w:eastAsia="Arial" w:hAnsi="Arial" w:cs="Arial"/>
          <w:color w:val="000000"/>
          <w:sz w:val="19"/>
          <w:szCs w:val="19"/>
        </w:rPr>
        <w:t>»5. Utilizar un método aleatorio para seleccionar el oferente, método que deberá haber sido previsto en los pliegos de condiciones del Proceso de Contratación».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D" w14:textId="77777777" w:rsidR="005E2E64" w:rsidRDefault="005E2E64">
    <w:pPr>
      <w:pStyle w:val="Normal0"/>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p w14:paraId="000000BE" w14:textId="77777777" w:rsidR="005E2E64" w:rsidRDefault="005E2E64">
    <w:pPr>
      <w:pStyle w:val="Normal0"/>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r>
      <w:rPr>
        <w:noProof/>
      </w:rPr>
      <w:drawing>
        <wp:anchor distT="0" distB="0" distL="114300" distR="114300" simplePos="0" relativeHeight="251658240" behindDoc="0" locked="0" layoutInCell="1" hidden="0" allowOverlap="1" wp14:anchorId="1E04EF7A" wp14:editId="07777777">
          <wp:simplePos x="0" y="0"/>
          <wp:positionH relativeFrom="column">
            <wp:posOffset>4686300</wp:posOffset>
          </wp:positionH>
          <wp:positionV relativeFrom="paragraph">
            <wp:posOffset>171450</wp:posOffset>
          </wp:positionV>
          <wp:extent cx="1500505" cy="616585"/>
          <wp:effectExtent l="0" t="0" r="0" b="0"/>
          <wp:wrapSquare wrapText="bothSides" distT="0" distB="0" distL="114300" distR="11430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500505" cy="616585"/>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C" w14:textId="77777777" w:rsidR="005E2E64" w:rsidRDefault="005E2E64">
    <w:pPr>
      <w:pStyle w:val="Normal0"/>
      <w:pBdr>
        <w:top w:val="nil"/>
        <w:left w:val="nil"/>
        <w:bottom w:val="nil"/>
        <w:right w:val="nil"/>
        <w:between w:val="nil"/>
      </w:pBdr>
      <w:tabs>
        <w:tab w:val="center" w:pos="4419"/>
        <w:tab w:val="right" w:pos="8838"/>
      </w:tabs>
      <w:spacing w:after="0" w:line="240" w:lineRule="auto"/>
      <w:rPr>
        <w:rFonts w:ascii="Times New Roman" w:eastAsia="Times New Roman" w:hAnsi="Times New Roman" w:cs="Times New Roman"/>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184EC2"/>
    <w:multiLevelType w:val="multilevel"/>
    <w:tmpl w:val="059EE832"/>
    <w:lvl w:ilvl="0">
      <w:start w:val="1"/>
      <w:numFmt w:val="decimal"/>
      <w:lvlText w:val="%1."/>
      <w:lvlJc w:val="left"/>
      <w:pPr>
        <w:ind w:left="360" w:hanging="360"/>
      </w:pPr>
      <w:rPr>
        <w:rFonts w:ascii="Arial" w:eastAsia="Arial" w:hAnsi="Arial" w:cs="Arial"/>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4B609E"/>
    <w:rsid w:val="00000279"/>
    <w:rsid w:val="00001DCB"/>
    <w:rsid w:val="00002C51"/>
    <w:rsid w:val="00004E93"/>
    <w:rsid w:val="000058A3"/>
    <w:rsid w:val="00017D88"/>
    <w:rsid w:val="0002240C"/>
    <w:rsid w:val="00036D20"/>
    <w:rsid w:val="00037204"/>
    <w:rsid w:val="00040291"/>
    <w:rsid w:val="00041C7F"/>
    <w:rsid w:val="00041F60"/>
    <w:rsid w:val="00054199"/>
    <w:rsid w:val="00054E3C"/>
    <w:rsid w:val="00065A57"/>
    <w:rsid w:val="00066C81"/>
    <w:rsid w:val="00070331"/>
    <w:rsid w:val="00085882"/>
    <w:rsid w:val="000937DA"/>
    <w:rsid w:val="00097B8F"/>
    <w:rsid w:val="000A1183"/>
    <w:rsid w:val="000A7C98"/>
    <w:rsid w:val="000B50F7"/>
    <w:rsid w:val="000D11D2"/>
    <w:rsid w:val="000D1771"/>
    <w:rsid w:val="000D4920"/>
    <w:rsid w:val="000E13F1"/>
    <w:rsid w:val="000E7972"/>
    <w:rsid w:val="000F11C2"/>
    <w:rsid w:val="00102798"/>
    <w:rsid w:val="00103043"/>
    <w:rsid w:val="001032F5"/>
    <w:rsid w:val="001114A1"/>
    <w:rsid w:val="00112B68"/>
    <w:rsid w:val="00123739"/>
    <w:rsid w:val="001242BF"/>
    <w:rsid w:val="00124A36"/>
    <w:rsid w:val="00130714"/>
    <w:rsid w:val="00132F43"/>
    <w:rsid w:val="00134EF7"/>
    <w:rsid w:val="0013551F"/>
    <w:rsid w:val="00137833"/>
    <w:rsid w:val="001414C7"/>
    <w:rsid w:val="00150B57"/>
    <w:rsid w:val="00153E5A"/>
    <w:rsid w:val="00160407"/>
    <w:rsid w:val="0016090E"/>
    <w:rsid w:val="00160CDB"/>
    <w:rsid w:val="0017341F"/>
    <w:rsid w:val="0017639F"/>
    <w:rsid w:val="001839F5"/>
    <w:rsid w:val="00187EAE"/>
    <w:rsid w:val="00187FAC"/>
    <w:rsid w:val="001917EF"/>
    <w:rsid w:val="00197BCC"/>
    <w:rsid w:val="001A173C"/>
    <w:rsid w:val="001A2E57"/>
    <w:rsid w:val="001A3268"/>
    <w:rsid w:val="001A375B"/>
    <w:rsid w:val="001A6C8E"/>
    <w:rsid w:val="001B11F3"/>
    <w:rsid w:val="001B5188"/>
    <w:rsid w:val="001B7471"/>
    <w:rsid w:val="001C0AC5"/>
    <w:rsid w:val="001C4112"/>
    <w:rsid w:val="001C7A66"/>
    <w:rsid w:val="001D015B"/>
    <w:rsid w:val="001D4E61"/>
    <w:rsid w:val="001D5A20"/>
    <w:rsid w:val="001F0D1B"/>
    <w:rsid w:val="001F1A52"/>
    <w:rsid w:val="001F2783"/>
    <w:rsid w:val="00204519"/>
    <w:rsid w:val="00205750"/>
    <w:rsid w:val="0020705F"/>
    <w:rsid w:val="00210577"/>
    <w:rsid w:val="00211C53"/>
    <w:rsid w:val="00215672"/>
    <w:rsid w:val="002163E2"/>
    <w:rsid w:val="00225659"/>
    <w:rsid w:val="00227673"/>
    <w:rsid w:val="00234205"/>
    <w:rsid w:val="00235F29"/>
    <w:rsid w:val="002372A2"/>
    <w:rsid w:val="00240FB2"/>
    <w:rsid w:val="00241AF0"/>
    <w:rsid w:val="00246515"/>
    <w:rsid w:val="00250B40"/>
    <w:rsid w:val="00251C39"/>
    <w:rsid w:val="0025492C"/>
    <w:rsid w:val="002609B3"/>
    <w:rsid w:val="00265040"/>
    <w:rsid w:val="00273E97"/>
    <w:rsid w:val="00277796"/>
    <w:rsid w:val="00282E5B"/>
    <w:rsid w:val="0028540F"/>
    <w:rsid w:val="00285601"/>
    <w:rsid w:val="00294291"/>
    <w:rsid w:val="00294CF8"/>
    <w:rsid w:val="002A266D"/>
    <w:rsid w:val="002A704B"/>
    <w:rsid w:val="002B43B3"/>
    <w:rsid w:val="002C4274"/>
    <w:rsid w:val="002D01B5"/>
    <w:rsid w:val="002D585E"/>
    <w:rsid w:val="002D7D84"/>
    <w:rsid w:val="002E037C"/>
    <w:rsid w:val="002E289A"/>
    <w:rsid w:val="002E47E0"/>
    <w:rsid w:val="002F02B2"/>
    <w:rsid w:val="002F21C7"/>
    <w:rsid w:val="002F34EC"/>
    <w:rsid w:val="002F49D9"/>
    <w:rsid w:val="002F63B6"/>
    <w:rsid w:val="00302128"/>
    <w:rsid w:val="00304BEA"/>
    <w:rsid w:val="00312746"/>
    <w:rsid w:val="00315C49"/>
    <w:rsid w:val="0033034A"/>
    <w:rsid w:val="003354C3"/>
    <w:rsid w:val="00344A74"/>
    <w:rsid w:val="00345F06"/>
    <w:rsid w:val="003467D9"/>
    <w:rsid w:val="00351EA9"/>
    <w:rsid w:val="00361FBC"/>
    <w:rsid w:val="003629D8"/>
    <w:rsid w:val="00365354"/>
    <w:rsid w:val="003707F8"/>
    <w:rsid w:val="00376A49"/>
    <w:rsid w:val="00386212"/>
    <w:rsid w:val="00386F77"/>
    <w:rsid w:val="00387025"/>
    <w:rsid w:val="003921F1"/>
    <w:rsid w:val="00394CE3"/>
    <w:rsid w:val="003A13C9"/>
    <w:rsid w:val="003A6564"/>
    <w:rsid w:val="003A6B87"/>
    <w:rsid w:val="003B05FD"/>
    <w:rsid w:val="003B39CD"/>
    <w:rsid w:val="003C3FC8"/>
    <w:rsid w:val="003D5E67"/>
    <w:rsid w:val="003E6DF4"/>
    <w:rsid w:val="003F2EDF"/>
    <w:rsid w:val="003F38CE"/>
    <w:rsid w:val="003F3C7E"/>
    <w:rsid w:val="003F71F8"/>
    <w:rsid w:val="00407C85"/>
    <w:rsid w:val="00413034"/>
    <w:rsid w:val="0041340F"/>
    <w:rsid w:val="004163A2"/>
    <w:rsid w:val="0041694E"/>
    <w:rsid w:val="0041710E"/>
    <w:rsid w:val="00422817"/>
    <w:rsid w:val="00435A90"/>
    <w:rsid w:val="00440BC5"/>
    <w:rsid w:val="004456A7"/>
    <w:rsid w:val="004520D9"/>
    <w:rsid w:val="0045411C"/>
    <w:rsid w:val="0045631D"/>
    <w:rsid w:val="00464C29"/>
    <w:rsid w:val="004705C8"/>
    <w:rsid w:val="00470E47"/>
    <w:rsid w:val="004806F2"/>
    <w:rsid w:val="004829AE"/>
    <w:rsid w:val="004872FF"/>
    <w:rsid w:val="004A048F"/>
    <w:rsid w:val="004A06B4"/>
    <w:rsid w:val="004A10A6"/>
    <w:rsid w:val="004A1D21"/>
    <w:rsid w:val="004A236D"/>
    <w:rsid w:val="004A2CF4"/>
    <w:rsid w:val="004B02EB"/>
    <w:rsid w:val="004D04CF"/>
    <w:rsid w:val="004D189E"/>
    <w:rsid w:val="004D1D20"/>
    <w:rsid w:val="004D5235"/>
    <w:rsid w:val="004D5988"/>
    <w:rsid w:val="004D5C2D"/>
    <w:rsid w:val="004E3090"/>
    <w:rsid w:val="004E57BB"/>
    <w:rsid w:val="004F117A"/>
    <w:rsid w:val="004F542F"/>
    <w:rsid w:val="0050049B"/>
    <w:rsid w:val="00500761"/>
    <w:rsid w:val="00505D96"/>
    <w:rsid w:val="00506590"/>
    <w:rsid w:val="00507844"/>
    <w:rsid w:val="00515757"/>
    <w:rsid w:val="00535507"/>
    <w:rsid w:val="005367D6"/>
    <w:rsid w:val="00542376"/>
    <w:rsid w:val="00542A0E"/>
    <w:rsid w:val="005431CD"/>
    <w:rsid w:val="005473D7"/>
    <w:rsid w:val="00560B6E"/>
    <w:rsid w:val="00564C4F"/>
    <w:rsid w:val="00570C1D"/>
    <w:rsid w:val="00571ACA"/>
    <w:rsid w:val="00575115"/>
    <w:rsid w:val="00575DBC"/>
    <w:rsid w:val="00581EF8"/>
    <w:rsid w:val="0058370F"/>
    <w:rsid w:val="00585AC1"/>
    <w:rsid w:val="00587CDE"/>
    <w:rsid w:val="00590AAE"/>
    <w:rsid w:val="005955C6"/>
    <w:rsid w:val="005973BD"/>
    <w:rsid w:val="005A0C81"/>
    <w:rsid w:val="005B4B4B"/>
    <w:rsid w:val="005C10C4"/>
    <w:rsid w:val="005D07E0"/>
    <w:rsid w:val="005D0F25"/>
    <w:rsid w:val="005D17A0"/>
    <w:rsid w:val="005D22E9"/>
    <w:rsid w:val="005D571D"/>
    <w:rsid w:val="005D7214"/>
    <w:rsid w:val="005E2E64"/>
    <w:rsid w:val="005E3868"/>
    <w:rsid w:val="005E4F7E"/>
    <w:rsid w:val="005F32AE"/>
    <w:rsid w:val="005F32D3"/>
    <w:rsid w:val="005F368E"/>
    <w:rsid w:val="005F796A"/>
    <w:rsid w:val="00601972"/>
    <w:rsid w:val="006030C7"/>
    <w:rsid w:val="00604524"/>
    <w:rsid w:val="006133B3"/>
    <w:rsid w:val="0061343C"/>
    <w:rsid w:val="006141BC"/>
    <w:rsid w:val="00621882"/>
    <w:rsid w:val="006261A4"/>
    <w:rsid w:val="0062644A"/>
    <w:rsid w:val="00634D69"/>
    <w:rsid w:val="00640435"/>
    <w:rsid w:val="00642545"/>
    <w:rsid w:val="00644D87"/>
    <w:rsid w:val="00646177"/>
    <w:rsid w:val="00651C81"/>
    <w:rsid w:val="00655167"/>
    <w:rsid w:val="00656849"/>
    <w:rsid w:val="00661809"/>
    <w:rsid w:val="006712D4"/>
    <w:rsid w:val="00673F82"/>
    <w:rsid w:val="00677813"/>
    <w:rsid w:val="00690353"/>
    <w:rsid w:val="0069451A"/>
    <w:rsid w:val="00694FF8"/>
    <w:rsid w:val="00695ED0"/>
    <w:rsid w:val="006A13B5"/>
    <w:rsid w:val="006A2212"/>
    <w:rsid w:val="006C3612"/>
    <w:rsid w:val="006C3F78"/>
    <w:rsid w:val="006C4F8C"/>
    <w:rsid w:val="006C7710"/>
    <w:rsid w:val="006D0F25"/>
    <w:rsid w:val="006E5E80"/>
    <w:rsid w:val="006F2858"/>
    <w:rsid w:val="006F7189"/>
    <w:rsid w:val="006F77A4"/>
    <w:rsid w:val="006F7A61"/>
    <w:rsid w:val="00700DAE"/>
    <w:rsid w:val="007027CF"/>
    <w:rsid w:val="00703347"/>
    <w:rsid w:val="00703473"/>
    <w:rsid w:val="0070632E"/>
    <w:rsid w:val="007108E4"/>
    <w:rsid w:val="0071416A"/>
    <w:rsid w:val="007146E6"/>
    <w:rsid w:val="00717528"/>
    <w:rsid w:val="00717C37"/>
    <w:rsid w:val="007214EE"/>
    <w:rsid w:val="00722901"/>
    <w:rsid w:val="007266A5"/>
    <w:rsid w:val="00727CD8"/>
    <w:rsid w:val="0074528D"/>
    <w:rsid w:val="00751A1E"/>
    <w:rsid w:val="00754D66"/>
    <w:rsid w:val="00757193"/>
    <w:rsid w:val="0076157B"/>
    <w:rsid w:val="00763474"/>
    <w:rsid w:val="007647DD"/>
    <w:rsid w:val="0077072A"/>
    <w:rsid w:val="0077DA2F"/>
    <w:rsid w:val="0078671E"/>
    <w:rsid w:val="00790935"/>
    <w:rsid w:val="00795F5C"/>
    <w:rsid w:val="007A1E00"/>
    <w:rsid w:val="007A28C5"/>
    <w:rsid w:val="007A56FC"/>
    <w:rsid w:val="007B0113"/>
    <w:rsid w:val="007B2944"/>
    <w:rsid w:val="007B6038"/>
    <w:rsid w:val="007B73FA"/>
    <w:rsid w:val="007C1BEF"/>
    <w:rsid w:val="007C54A9"/>
    <w:rsid w:val="007D1F8F"/>
    <w:rsid w:val="007E5156"/>
    <w:rsid w:val="007F5DAA"/>
    <w:rsid w:val="00813D69"/>
    <w:rsid w:val="00817076"/>
    <w:rsid w:val="00823286"/>
    <w:rsid w:val="00825285"/>
    <w:rsid w:val="008308B9"/>
    <w:rsid w:val="008477E2"/>
    <w:rsid w:val="00852E24"/>
    <w:rsid w:val="00856930"/>
    <w:rsid w:val="00856D5A"/>
    <w:rsid w:val="00861FAC"/>
    <w:rsid w:val="00864317"/>
    <w:rsid w:val="00864E30"/>
    <w:rsid w:val="00871EB5"/>
    <w:rsid w:val="00885632"/>
    <w:rsid w:val="00886CD8"/>
    <w:rsid w:val="008B2707"/>
    <w:rsid w:val="008B6109"/>
    <w:rsid w:val="008C5EB5"/>
    <w:rsid w:val="008C7AC8"/>
    <w:rsid w:val="008D5C4A"/>
    <w:rsid w:val="008D7436"/>
    <w:rsid w:val="008E08FA"/>
    <w:rsid w:val="008E419F"/>
    <w:rsid w:val="008E6634"/>
    <w:rsid w:val="008E77DC"/>
    <w:rsid w:val="008F291B"/>
    <w:rsid w:val="009014C6"/>
    <w:rsid w:val="00904BED"/>
    <w:rsid w:val="00912A3D"/>
    <w:rsid w:val="0091345F"/>
    <w:rsid w:val="00920F49"/>
    <w:rsid w:val="009212FF"/>
    <w:rsid w:val="009234CA"/>
    <w:rsid w:val="00926D15"/>
    <w:rsid w:val="00926FA9"/>
    <w:rsid w:val="0092738E"/>
    <w:rsid w:val="00927408"/>
    <w:rsid w:val="00934A54"/>
    <w:rsid w:val="00935998"/>
    <w:rsid w:val="0093649D"/>
    <w:rsid w:val="00941A29"/>
    <w:rsid w:val="00942087"/>
    <w:rsid w:val="00946CDA"/>
    <w:rsid w:val="00954406"/>
    <w:rsid w:val="0096309E"/>
    <w:rsid w:val="00963432"/>
    <w:rsid w:val="00975FEF"/>
    <w:rsid w:val="0097618D"/>
    <w:rsid w:val="009819DC"/>
    <w:rsid w:val="00987006"/>
    <w:rsid w:val="009906B1"/>
    <w:rsid w:val="0099579A"/>
    <w:rsid w:val="009A2430"/>
    <w:rsid w:val="009A48DD"/>
    <w:rsid w:val="009A58EC"/>
    <w:rsid w:val="009A5FF9"/>
    <w:rsid w:val="009A70BA"/>
    <w:rsid w:val="009B23EA"/>
    <w:rsid w:val="009B2C3C"/>
    <w:rsid w:val="009B34A5"/>
    <w:rsid w:val="009B4FD6"/>
    <w:rsid w:val="009C4C41"/>
    <w:rsid w:val="009C5336"/>
    <w:rsid w:val="009D65DA"/>
    <w:rsid w:val="009D6DF1"/>
    <w:rsid w:val="009E1636"/>
    <w:rsid w:val="009E3F0A"/>
    <w:rsid w:val="009E5F22"/>
    <w:rsid w:val="009F049C"/>
    <w:rsid w:val="00A056F8"/>
    <w:rsid w:val="00A13E29"/>
    <w:rsid w:val="00A17073"/>
    <w:rsid w:val="00A2089C"/>
    <w:rsid w:val="00A228A5"/>
    <w:rsid w:val="00A30C69"/>
    <w:rsid w:val="00A32F17"/>
    <w:rsid w:val="00A33A9C"/>
    <w:rsid w:val="00A36E25"/>
    <w:rsid w:val="00A421F1"/>
    <w:rsid w:val="00A42981"/>
    <w:rsid w:val="00A51C25"/>
    <w:rsid w:val="00A552DC"/>
    <w:rsid w:val="00A6359C"/>
    <w:rsid w:val="00A67315"/>
    <w:rsid w:val="00A67B01"/>
    <w:rsid w:val="00A73D50"/>
    <w:rsid w:val="00A76975"/>
    <w:rsid w:val="00A83064"/>
    <w:rsid w:val="00A83795"/>
    <w:rsid w:val="00A85838"/>
    <w:rsid w:val="00A867ED"/>
    <w:rsid w:val="00A90232"/>
    <w:rsid w:val="00A94E76"/>
    <w:rsid w:val="00A96135"/>
    <w:rsid w:val="00A977E9"/>
    <w:rsid w:val="00AA3911"/>
    <w:rsid w:val="00AA407F"/>
    <w:rsid w:val="00AA4BDF"/>
    <w:rsid w:val="00AB0C95"/>
    <w:rsid w:val="00AB2BBE"/>
    <w:rsid w:val="00AB7E51"/>
    <w:rsid w:val="00AC20FA"/>
    <w:rsid w:val="00AC4420"/>
    <w:rsid w:val="00AD30A9"/>
    <w:rsid w:val="00AE29BF"/>
    <w:rsid w:val="00AF22A1"/>
    <w:rsid w:val="00AF57C6"/>
    <w:rsid w:val="00AF58D1"/>
    <w:rsid w:val="00AF7CC7"/>
    <w:rsid w:val="00B001E9"/>
    <w:rsid w:val="00B02D6F"/>
    <w:rsid w:val="00B0525C"/>
    <w:rsid w:val="00B15CEE"/>
    <w:rsid w:val="00B21939"/>
    <w:rsid w:val="00B22017"/>
    <w:rsid w:val="00B23AD8"/>
    <w:rsid w:val="00B30090"/>
    <w:rsid w:val="00B30900"/>
    <w:rsid w:val="00B31902"/>
    <w:rsid w:val="00B4014B"/>
    <w:rsid w:val="00B47754"/>
    <w:rsid w:val="00B5047C"/>
    <w:rsid w:val="00B513AD"/>
    <w:rsid w:val="00B5220F"/>
    <w:rsid w:val="00B70C47"/>
    <w:rsid w:val="00B71253"/>
    <w:rsid w:val="00B73D79"/>
    <w:rsid w:val="00B78D47"/>
    <w:rsid w:val="00B84C22"/>
    <w:rsid w:val="00B93D86"/>
    <w:rsid w:val="00B94822"/>
    <w:rsid w:val="00B96ADC"/>
    <w:rsid w:val="00BA7B39"/>
    <w:rsid w:val="00BB09B0"/>
    <w:rsid w:val="00BB4499"/>
    <w:rsid w:val="00BB6912"/>
    <w:rsid w:val="00BB7E5A"/>
    <w:rsid w:val="00BD6C07"/>
    <w:rsid w:val="00BE009A"/>
    <w:rsid w:val="00BE2A54"/>
    <w:rsid w:val="00BE2E83"/>
    <w:rsid w:val="00BE4BB1"/>
    <w:rsid w:val="00BF1EC8"/>
    <w:rsid w:val="00BF4800"/>
    <w:rsid w:val="00C035E4"/>
    <w:rsid w:val="00C06419"/>
    <w:rsid w:val="00C06874"/>
    <w:rsid w:val="00C1152E"/>
    <w:rsid w:val="00C12B63"/>
    <w:rsid w:val="00C16AC5"/>
    <w:rsid w:val="00C26161"/>
    <w:rsid w:val="00C2757D"/>
    <w:rsid w:val="00C318A1"/>
    <w:rsid w:val="00C377B1"/>
    <w:rsid w:val="00C40F77"/>
    <w:rsid w:val="00C41870"/>
    <w:rsid w:val="00C42661"/>
    <w:rsid w:val="00C500D7"/>
    <w:rsid w:val="00C52978"/>
    <w:rsid w:val="00C57F71"/>
    <w:rsid w:val="00C60218"/>
    <w:rsid w:val="00C64FAB"/>
    <w:rsid w:val="00C67955"/>
    <w:rsid w:val="00C7026F"/>
    <w:rsid w:val="00C710A1"/>
    <w:rsid w:val="00C72C1C"/>
    <w:rsid w:val="00C779BE"/>
    <w:rsid w:val="00C85D40"/>
    <w:rsid w:val="00C861B0"/>
    <w:rsid w:val="00C95953"/>
    <w:rsid w:val="00C9789E"/>
    <w:rsid w:val="00CA1D13"/>
    <w:rsid w:val="00CA1FDC"/>
    <w:rsid w:val="00CA2418"/>
    <w:rsid w:val="00CA5F7D"/>
    <w:rsid w:val="00CB05B7"/>
    <w:rsid w:val="00CC5D96"/>
    <w:rsid w:val="00CD1B4B"/>
    <w:rsid w:val="00CE7180"/>
    <w:rsid w:val="00CF19FA"/>
    <w:rsid w:val="00CF2D52"/>
    <w:rsid w:val="00CF5A91"/>
    <w:rsid w:val="00CF6EF1"/>
    <w:rsid w:val="00D00D2D"/>
    <w:rsid w:val="00D017FB"/>
    <w:rsid w:val="00D04F33"/>
    <w:rsid w:val="00D07A33"/>
    <w:rsid w:val="00D2061D"/>
    <w:rsid w:val="00D21D09"/>
    <w:rsid w:val="00D2282C"/>
    <w:rsid w:val="00D31507"/>
    <w:rsid w:val="00D57D58"/>
    <w:rsid w:val="00D610CC"/>
    <w:rsid w:val="00D656DD"/>
    <w:rsid w:val="00D701E1"/>
    <w:rsid w:val="00D72530"/>
    <w:rsid w:val="00D84110"/>
    <w:rsid w:val="00D86618"/>
    <w:rsid w:val="00D95BC6"/>
    <w:rsid w:val="00DA314B"/>
    <w:rsid w:val="00DB68B8"/>
    <w:rsid w:val="00DC036A"/>
    <w:rsid w:val="00DC23DC"/>
    <w:rsid w:val="00DC4FC7"/>
    <w:rsid w:val="00DC6C1B"/>
    <w:rsid w:val="00DD1B72"/>
    <w:rsid w:val="00DD3A13"/>
    <w:rsid w:val="00DE4F28"/>
    <w:rsid w:val="00DF420C"/>
    <w:rsid w:val="00DF7682"/>
    <w:rsid w:val="00E03320"/>
    <w:rsid w:val="00E04A1B"/>
    <w:rsid w:val="00E12F7C"/>
    <w:rsid w:val="00E13807"/>
    <w:rsid w:val="00E1683A"/>
    <w:rsid w:val="00E16B90"/>
    <w:rsid w:val="00E219CA"/>
    <w:rsid w:val="00E3056F"/>
    <w:rsid w:val="00E32785"/>
    <w:rsid w:val="00E33665"/>
    <w:rsid w:val="00E35DC8"/>
    <w:rsid w:val="00E40126"/>
    <w:rsid w:val="00E46E82"/>
    <w:rsid w:val="00E51022"/>
    <w:rsid w:val="00E54416"/>
    <w:rsid w:val="00E55A7F"/>
    <w:rsid w:val="00E65342"/>
    <w:rsid w:val="00E81272"/>
    <w:rsid w:val="00E86244"/>
    <w:rsid w:val="00E86423"/>
    <w:rsid w:val="00E92EDE"/>
    <w:rsid w:val="00EA3028"/>
    <w:rsid w:val="00EB0CB0"/>
    <w:rsid w:val="00EC1834"/>
    <w:rsid w:val="00EC25AD"/>
    <w:rsid w:val="00EC2A68"/>
    <w:rsid w:val="00ED0040"/>
    <w:rsid w:val="00ED5B7F"/>
    <w:rsid w:val="00EE09CF"/>
    <w:rsid w:val="00EE2AD5"/>
    <w:rsid w:val="00EE7515"/>
    <w:rsid w:val="00EE7DBE"/>
    <w:rsid w:val="00EF4904"/>
    <w:rsid w:val="00F0560C"/>
    <w:rsid w:val="00F13192"/>
    <w:rsid w:val="00F143A2"/>
    <w:rsid w:val="00F1685C"/>
    <w:rsid w:val="00F16F51"/>
    <w:rsid w:val="00F25B9C"/>
    <w:rsid w:val="00F2701C"/>
    <w:rsid w:val="00F33727"/>
    <w:rsid w:val="00F33953"/>
    <w:rsid w:val="00F4170F"/>
    <w:rsid w:val="00F42735"/>
    <w:rsid w:val="00F435DE"/>
    <w:rsid w:val="00F51AC2"/>
    <w:rsid w:val="00F57580"/>
    <w:rsid w:val="00F65A17"/>
    <w:rsid w:val="00F718C1"/>
    <w:rsid w:val="00F76803"/>
    <w:rsid w:val="00F81269"/>
    <w:rsid w:val="00F84E8D"/>
    <w:rsid w:val="00F8743D"/>
    <w:rsid w:val="00FA02B2"/>
    <w:rsid w:val="00FA58DE"/>
    <w:rsid w:val="00FB0685"/>
    <w:rsid w:val="00FB2E5B"/>
    <w:rsid w:val="00FC74CA"/>
    <w:rsid w:val="00FD10F8"/>
    <w:rsid w:val="00FD2D7E"/>
    <w:rsid w:val="00FD31CB"/>
    <w:rsid w:val="00FD6C39"/>
    <w:rsid w:val="00FF7878"/>
    <w:rsid w:val="01121BA0"/>
    <w:rsid w:val="016A3353"/>
    <w:rsid w:val="01EE9C23"/>
    <w:rsid w:val="0200CC89"/>
    <w:rsid w:val="02D56432"/>
    <w:rsid w:val="02F29DCE"/>
    <w:rsid w:val="034BAC63"/>
    <w:rsid w:val="03E283B6"/>
    <w:rsid w:val="0460560B"/>
    <w:rsid w:val="0470061F"/>
    <w:rsid w:val="049CB4A9"/>
    <w:rsid w:val="049E80E4"/>
    <w:rsid w:val="04B75BD5"/>
    <w:rsid w:val="04E3F9CA"/>
    <w:rsid w:val="051630FE"/>
    <w:rsid w:val="051A0A57"/>
    <w:rsid w:val="052D6022"/>
    <w:rsid w:val="05621859"/>
    <w:rsid w:val="0583F120"/>
    <w:rsid w:val="05A47A72"/>
    <w:rsid w:val="06946738"/>
    <w:rsid w:val="06BF92C0"/>
    <w:rsid w:val="0749D015"/>
    <w:rsid w:val="074BC053"/>
    <w:rsid w:val="075F74EA"/>
    <w:rsid w:val="07D56DF2"/>
    <w:rsid w:val="08007292"/>
    <w:rsid w:val="08F2CAC9"/>
    <w:rsid w:val="0902D563"/>
    <w:rsid w:val="0904A742"/>
    <w:rsid w:val="092165BF"/>
    <w:rsid w:val="094A9CD5"/>
    <w:rsid w:val="09B6CBFD"/>
    <w:rsid w:val="09F42A77"/>
    <w:rsid w:val="0AC02CDB"/>
    <w:rsid w:val="0B0C8720"/>
    <w:rsid w:val="0B55735C"/>
    <w:rsid w:val="0B5757A5"/>
    <w:rsid w:val="0B8D963B"/>
    <w:rsid w:val="0BB602EF"/>
    <w:rsid w:val="0BC8EA23"/>
    <w:rsid w:val="0BD46D3E"/>
    <w:rsid w:val="0BD94668"/>
    <w:rsid w:val="0BED3226"/>
    <w:rsid w:val="0C164539"/>
    <w:rsid w:val="0C4A5168"/>
    <w:rsid w:val="0CE46B50"/>
    <w:rsid w:val="0D9A5495"/>
    <w:rsid w:val="0DA24622"/>
    <w:rsid w:val="0DEC6E8B"/>
    <w:rsid w:val="0E1D8DD6"/>
    <w:rsid w:val="0E39F343"/>
    <w:rsid w:val="0E6E4AFD"/>
    <w:rsid w:val="0E9D9B2F"/>
    <w:rsid w:val="0F1E87C5"/>
    <w:rsid w:val="0F4D50F7"/>
    <w:rsid w:val="0FBBDDB0"/>
    <w:rsid w:val="0FEC7D14"/>
    <w:rsid w:val="0FEE7718"/>
    <w:rsid w:val="1025F1D6"/>
    <w:rsid w:val="1099B720"/>
    <w:rsid w:val="10B0FD3A"/>
    <w:rsid w:val="10E933B1"/>
    <w:rsid w:val="110B3B7E"/>
    <w:rsid w:val="110D3C40"/>
    <w:rsid w:val="112F6E5F"/>
    <w:rsid w:val="11541B85"/>
    <w:rsid w:val="11ADF6AF"/>
    <w:rsid w:val="11D36F5F"/>
    <w:rsid w:val="11F514FB"/>
    <w:rsid w:val="120A4A07"/>
    <w:rsid w:val="12D29270"/>
    <w:rsid w:val="1393D722"/>
    <w:rsid w:val="146DEFC8"/>
    <w:rsid w:val="14B787A5"/>
    <w:rsid w:val="14DD1645"/>
    <w:rsid w:val="14EAD5E1"/>
    <w:rsid w:val="1530A0F8"/>
    <w:rsid w:val="15AD42D6"/>
    <w:rsid w:val="160F0EBA"/>
    <w:rsid w:val="163C8F43"/>
    <w:rsid w:val="1642E294"/>
    <w:rsid w:val="166F1277"/>
    <w:rsid w:val="16A2E7B9"/>
    <w:rsid w:val="16A88242"/>
    <w:rsid w:val="17220CA0"/>
    <w:rsid w:val="173162C6"/>
    <w:rsid w:val="174B609E"/>
    <w:rsid w:val="175392D1"/>
    <w:rsid w:val="1760E566"/>
    <w:rsid w:val="17B8145F"/>
    <w:rsid w:val="17CC7F47"/>
    <w:rsid w:val="17D8951E"/>
    <w:rsid w:val="18340B83"/>
    <w:rsid w:val="1837C444"/>
    <w:rsid w:val="183DFB40"/>
    <w:rsid w:val="18901676"/>
    <w:rsid w:val="18D611A5"/>
    <w:rsid w:val="19272393"/>
    <w:rsid w:val="19469951"/>
    <w:rsid w:val="19B3ABBF"/>
    <w:rsid w:val="19C7806F"/>
    <w:rsid w:val="1A1819F4"/>
    <w:rsid w:val="1A6CB603"/>
    <w:rsid w:val="1ABA2953"/>
    <w:rsid w:val="1AE269B2"/>
    <w:rsid w:val="1AFB7569"/>
    <w:rsid w:val="1B28CD58"/>
    <w:rsid w:val="1B661C7D"/>
    <w:rsid w:val="1B682402"/>
    <w:rsid w:val="1B7A8BF5"/>
    <w:rsid w:val="1BA6BAD4"/>
    <w:rsid w:val="1BB217CD"/>
    <w:rsid w:val="1BCB414E"/>
    <w:rsid w:val="1BFC64BE"/>
    <w:rsid w:val="1C0CC074"/>
    <w:rsid w:val="1C7972DF"/>
    <w:rsid w:val="1CB621E0"/>
    <w:rsid w:val="1D9DC35E"/>
    <w:rsid w:val="1DAF320F"/>
    <w:rsid w:val="1DD229C0"/>
    <w:rsid w:val="1DFC32EA"/>
    <w:rsid w:val="1EA22807"/>
    <w:rsid w:val="1EE21D41"/>
    <w:rsid w:val="1EE7BD6A"/>
    <w:rsid w:val="1F031520"/>
    <w:rsid w:val="1F09933F"/>
    <w:rsid w:val="1F0AF018"/>
    <w:rsid w:val="1F12F26A"/>
    <w:rsid w:val="1F54ECCF"/>
    <w:rsid w:val="1F9A310F"/>
    <w:rsid w:val="1FCC81F1"/>
    <w:rsid w:val="2040C800"/>
    <w:rsid w:val="204D450A"/>
    <w:rsid w:val="20596BE2"/>
    <w:rsid w:val="208165A3"/>
    <w:rsid w:val="20838C2F"/>
    <w:rsid w:val="20924302"/>
    <w:rsid w:val="20AF678E"/>
    <w:rsid w:val="20DB5E3B"/>
    <w:rsid w:val="20F13A98"/>
    <w:rsid w:val="2154A08E"/>
    <w:rsid w:val="219EA95D"/>
    <w:rsid w:val="21AABCCA"/>
    <w:rsid w:val="21F5152B"/>
    <w:rsid w:val="22223CC2"/>
    <w:rsid w:val="222C8AD8"/>
    <w:rsid w:val="2241239E"/>
    <w:rsid w:val="22BDEEC8"/>
    <w:rsid w:val="22E9DBB9"/>
    <w:rsid w:val="2323B2F9"/>
    <w:rsid w:val="236377AA"/>
    <w:rsid w:val="23A570A8"/>
    <w:rsid w:val="23D6DFB3"/>
    <w:rsid w:val="23DE68B7"/>
    <w:rsid w:val="23DF9FC6"/>
    <w:rsid w:val="23F8CA1A"/>
    <w:rsid w:val="2463FF70"/>
    <w:rsid w:val="248BBF02"/>
    <w:rsid w:val="249D4564"/>
    <w:rsid w:val="24A67AFC"/>
    <w:rsid w:val="24DEE347"/>
    <w:rsid w:val="24FAC73A"/>
    <w:rsid w:val="25AC242F"/>
    <w:rsid w:val="25AFF446"/>
    <w:rsid w:val="2625D5AA"/>
    <w:rsid w:val="2668E458"/>
    <w:rsid w:val="26716956"/>
    <w:rsid w:val="268350D5"/>
    <w:rsid w:val="273A0A5F"/>
    <w:rsid w:val="2756F1A0"/>
    <w:rsid w:val="2757550E"/>
    <w:rsid w:val="27FA05A7"/>
    <w:rsid w:val="2884B671"/>
    <w:rsid w:val="288B41F6"/>
    <w:rsid w:val="293B5D99"/>
    <w:rsid w:val="29419446"/>
    <w:rsid w:val="29533B5E"/>
    <w:rsid w:val="29B7BB95"/>
    <w:rsid w:val="29BB2468"/>
    <w:rsid w:val="2A0C9B69"/>
    <w:rsid w:val="2A45D0FC"/>
    <w:rsid w:val="2A62AB6B"/>
    <w:rsid w:val="2ACA757D"/>
    <w:rsid w:val="2ACC17B2"/>
    <w:rsid w:val="2ACC76E9"/>
    <w:rsid w:val="2AD1FF19"/>
    <w:rsid w:val="2AE3081A"/>
    <w:rsid w:val="2B0979D7"/>
    <w:rsid w:val="2B45D27B"/>
    <w:rsid w:val="2B4C7888"/>
    <w:rsid w:val="2BCE1AC7"/>
    <w:rsid w:val="2BEC506F"/>
    <w:rsid w:val="2BF467D8"/>
    <w:rsid w:val="2BFDDD97"/>
    <w:rsid w:val="2C541458"/>
    <w:rsid w:val="2D2FA7E3"/>
    <w:rsid w:val="2D3D18EE"/>
    <w:rsid w:val="2D4761F5"/>
    <w:rsid w:val="2D4D25D0"/>
    <w:rsid w:val="2D80179F"/>
    <w:rsid w:val="2E475FC0"/>
    <w:rsid w:val="2ED5BC3E"/>
    <w:rsid w:val="2EECCC65"/>
    <w:rsid w:val="2EF1158D"/>
    <w:rsid w:val="2F1852C9"/>
    <w:rsid w:val="2F7C14FB"/>
    <w:rsid w:val="2FA51AF6"/>
    <w:rsid w:val="2FC9FE27"/>
    <w:rsid w:val="2FF79321"/>
    <w:rsid w:val="30093C61"/>
    <w:rsid w:val="300EB2C7"/>
    <w:rsid w:val="3098EFBE"/>
    <w:rsid w:val="309F8E36"/>
    <w:rsid w:val="30ABC3F4"/>
    <w:rsid w:val="30B51280"/>
    <w:rsid w:val="30D964C1"/>
    <w:rsid w:val="30FCB5DC"/>
    <w:rsid w:val="314A2A42"/>
    <w:rsid w:val="3159EEB8"/>
    <w:rsid w:val="31770485"/>
    <w:rsid w:val="31A43E23"/>
    <w:rsid w:val="31BEFF43"/>
    <w:rsid w:val="31D2733A"/>
    <w:rsid w:val="322EFB76"/>
    <w:rsid w:val="32C18332"/>
    <w:rsid w:val="331FD32A"/>
    <w:rsid w:val="3354C911"/>
    <w:rsid w:val="336DDB7B"/>
    <w:rsid w:val="338A8932"/>
    <w:rsid w:val="33ECB342"/>
    <w:rsid w:val="34432D09"/>
    <w:rsid w:val="3477E540"/>
    <w:rsid w:val="34D46198"/>
    <w:rsid w:val="352CBA88"/>
    <w:rsid w:val="35729F1A"/>
    <w:rsid w:val="3575AA54"/>
    <w:rsid w:val="358883A3"/>
    <w:rsid w:val="359AFEF5"/>
    <w:rsid w:val="3624BEA2"/>
    <w:rsid w:val="3657F038"/>
    <w:rsid w:val="366DA108"/>
    <w:rsid w:val="36D16C8D"/>
    <w:rsid w:val="376D846B"/>
    <w:rsid w:val="377731B7"/>
    <w:rsid w:val="37A835F7"/>
    <w:rsid w:val="37AE5F2A"/>
    <w:rsid w:val="37AED917"/>
    <w:rsid w:val="37CB00AC"/>
    <w:rsid w:val="3849B914"/>
    <w:rsid w:val="3867C790"/>
    <w:rsid w:val="38A8DEC5"/>
    <w:rsid w:val="391136BF"/>
    <w:rsid w:val="391DC169"/>
    <w:rsid w:val="393DA3DD"/>
    <w:rsid w:val="3953AB46"/>
    <w:rsid w:val="39740E66"/>
    <w:rsid w:val="3980AC8D"/>
    <w:rsid w:val="39BB06F2"/>
    <w:rsid w:val="39C567A6"/>
    <w:rsid w:val="39C9B00E"/>
    <w:rsid w:val="3A12807B"/>
    <w:rsid w:val="3A36F4B7"/>
    <w:rsid w:val="3B05E87F"/>
    <w:rsid w:val="3B2E9143"/>
    <w:rsid w:val="3B7ECF62"/>
    <w:rsid w:val="3BB9425F"/>
    <w:rsid w:val="3BE2B486"/>
    <w:rsid w:val="3BE98F4E"/>
    <w:rsid w:val="3C025793"/>
    <w:rsid w:val="3C136094"/>
    <w:rsid w:val="3C30FE1D"/>
    <w:rsid w:val="3C37377F"/>
    <w:rsid w:val="3C5CE18A"/>
    <w:rsid w:val="3C8AB855"/>
    <w:rsid w:val="3C906C6F"/>
    <w:rsid w:val="3CE96C67"/>
    <w:rsid w:val="3D10A3A9"/>
    <w:rsid w:val="3D133094"/>
    <w:rsid w:val="3D143D74"/>
    <w:rsid w:val="3D32F219"/>
    <w:rsid w:val="3D428305"/>
    <w:rsid w:val="3D48C077"/>
    <w:rsid w:val="3D5B6F1B"/>
    <w:rsid w:val="3DC28BC4"/>
    <w:rsid w:val="3DCB674C"/>
    <w:rsid w:val="3E7494A5"/>
    <w:rsid w:val="3EFDBD66"/>
    <w:rsid w:val="3F037AB1"/>
    <w:rsid w:val="3F199195"/>
    <w:rsid w:val="3F248F99"/>
    <w:rsid w:val="3F28340F"/>
    <w:rsid w:val="3F340C91"/>
    <w:rsid w:val="3F7942F3"/>
    <w:rsid w:val="3FD7DB1E"/>
    <w:rsid w:val="40A9B128"/>
    <w:rsid w:val="40EB326D"/>
    <w:rsid w:val="40EB82BB"/>
    <w:rsid w:val="40EC214E"/>
    <w:rsid w:val="41136A92"/>
    <w:rsid w:val="4126DA29"/>
    <w:rsid w:val="413A72D8"/>
    <w:rsid w:val="413D235B"/>
    <w:rsid w:val="4158A353"/>
    <w:rsid w:val="41750CD3"/>
    <w:rsid w:val="41A74D00"/>
    <w:rsid w:val="41A8B688"/>
    <w:rsid w:val="41BB1DE3"/>
    <w:rsid w:val="41E414CC"/>
    <w:rsid w:val="4220B7A7"/>
    <w:rsid w:val="4253F954"/>
    <w:rsid w:val="42590CCD"/>
    <w:rsid w:val="42B1117F"/>
    <w:rsid w:val="42C05A4B"/>
    <w:rsid w:val="4302458B"/>
    <w:rsid w:val="434824CC"/>
    <w:rsid w:val="434E2CE6"/>
    <w:rsid w:val="4398FB52"/>
    <w:rsid w:val="43DBE52D"/>
    <w:rsid w:val="43FA332C"/>
    <w:rsid w:val="44025C61"/>
    <w:rsid w:val="4445E055"/>
    <w:rsid w:val="44852D1B"/>
    <w:rsid w:val="44AE9C6C"/>
    <w:rsid w:val="44DD71A2"/>
    <w:rsid w:val="452045E2"/>
    <w:rsid w:val="45394C69"/>
    <w:rsid w:val="45395CAA"/>
    <w:rsid w:val="4543FA52"/>
    <w:rsid w:val="4559ABAB"/>
    <w:rsid w:val="45666361"/>
    <w:rsid w:val="45D04BEE"/>
    <w:rsid w:val="45DD9D3D"/>
    <w:rsid w:val="45E56129"/>
    <w:rsid w:val="4633F833"/>
    <w:rsid w:val="4683EDF7"/>
    <w:rsid w:val="46D36311"/>
    <w:rsid w:val="4704E699"/>
    <w:rsid w:val="4706E932"/>
    <w:rsid w:val="472915B9"/>
    <w:rsid w:val="47293CF7"/>
    <w:rsid w:val="479E01F1"/>
    <w:rsid w:val="47AB48E2"/>
    <w:rsid w:val="47BCB58F"/>
    <w:rsid w:val="47BF7816"/>
    <w:rsid w:val="47C40B9D"/>
    <w:rsid w:val="47DBDCD1"/>
    <w:rsid w:val="4817B845"/>
    <w:rsid w:val="481FB0DF"/>
    <w:rsid w:val="485AAC56"/>
    <w:rsid w:val="487F6615"/>
    <w:rsid w:val="48AC569E"/>
    <w:rsid w:val="48FE30DD"/>
    <w:rsid w:val="49542DA8"/>
    <w:rsid w:val="497D26AD"/>
    <w:rsid w:val="49B4E96C"/>
    <w:rsid w:val="49DA3D15"/>
    <w:rsid w:val="4A6B8CCB"/>
    <w:rsid w:val="4A77FD2D"/>
    <w:rsid w:val="4AE703BC"/>
    <w:rsid w:val="4B0FD0FB"/>
    <w:rsid w:val="4B1C29CF"/>
    <w:rsid w:val="4B377C40"/>
    <w:rsid w:val="4B8E457E"/>
    <w:rsid w:val="4BFAF345"/>
    <w:rsid w:val="4C36114C"/>
    <w:rsid w:val="4C60A412"/>
    <w:rsid w:val="4CA9DEFC"/>
    <w:rsid w:val="4CC4B7AB"/>
    <w:rsid w:val="4CDBA5F2"/>
    <w:rsid w:val="4CF5E21A"/>
    <w:rsid w:val="4D663954"/>
    <w:rsid w:val="4D8C1CCE"/>
    <w:rsid w:val="4D8EF2C6"/>
    <w:rsid w:val="4DD9B780"/>
    <w:rsid w:val="4DEC9EB1"/>
    <w:rsid w:val="4E8AD773"/>
    <w:rsid w:val="4EB7DF59"/>
    <w:rsid w:val="4F1F4D81"/>
    <w:rsid w:val="4F236F27"/>
    <w:rsid w:val="4F76FF34"/>
    <w:rsid w:val="4F7A65F6"/>
    <w:rsid w:val="4F7D7F43"/>
    <w:rsid w:val="4F92E7FF"/>
    <w:rsid w:val="4F9D326A"/>
    <w:rsid w:val="4FB959BC"/>
    <w:rsid w:val="4FC3CEFC"/>
    <w:rsid w:val="4FF2EABF"/>
    <w:rsid w:val="4FFBD89F"/>
    <w:rsid w:val="5019242D"/>
    <w:rsid w:val="50853EC5"/>
    <w:rsid w:val="50CE6543"/>
    <w:rsid w:val="50D60A55"/>
    <w:rsid w:val="514C20DB"/>
    <w:rsid w:val="51542DFE"/>
    <w:rsid w:val="51598AD3"/>
    <w:rsid w:val="51A6591D"/>
    <w:rsid w:val="51C2D7BA"/>
    <w:rsid w:val="521575E0"/>
    <w:rsid w:val="52442349"/>
    <w:rsid w:val="530047EF"/>
    <w:rsid w:val="5316E1A3"/>
    <w:rsid w:val="5381A6F2"/>
    <w:rsid w:val="53C05F05"/>
    <w:rsid w:val="5424FCF7"/>
    <w:rsid w:val="54F91644"/>
    <w:rsid w:val="5524471A"/>
    <w:rsid w:val="55394D53"/>
    <w:rsid w:val="5574331F"/>
    <w:rsid w:val="55B14BDC"/>
    <w:rsid w:val="561359C2"/>
    <w:rsid w:val="56F8AD66"/>
    <w:rsid w:val="57168BFB"/>
    <w:rsid w:val="575AFC2E"/>
    <w:rsid w:val="575C8FC5"/>
    <w:rsid w:val="57D8389D"/>
    <w:rsid w:val="58314CFC"/>
    <w:rsid w:val="584E2F43"/>
    <w:rsid w:val="58531580"/>
    <w:rsid w:val="58583F43"/>
    <w:rsid w:val="586C6E77"/>
    <w:rsid w:val="58D6559A"/>
    <w:rsid w:val="58FA3403"/>
    <w:rsid w:val="5927E622"/>
    <w:rsid w:val="5932CF41"/>
    <w:rsid w:val="599355C3"/>
    <w:rsid w:val="59BC724F"/>
    <w:rsid w:val="5A5BDA36"/>
    <w:rsid w:val="5AA52DF5"/>
    <w:rsid w:val="5AB8128E"/>
    <w:rsid w:val="5B6AC476"/>
    <w:rsid w:val="5B789D14"/>
    <w:rsid w:val="5BA9379D"/>
    <w:rsid w:val="5C342939"/>
    <w:rsid w:val="5C4CB489"/>
    <w:rsid w:val="5CC53FE8"/>
    <w:rsid w:val="5D528DC9"/>
    <w:rsid w:val="5D85919B"/>
    <w:rsid w:val="5DE9BEC8"/>
    <w:rsid w:val="5E229686"/>
    <w:rsid w:val="5EA3F9B5"/>
    <w:rsid w:val="5EB03DD6"/>
    <w:rsid w:val="5ED261AF"/>
    <w:rsid w:val="5ED8ED74"/>
    <w:rsid w:val="5EE40C9F"/>
    <w:rsid w:val="5F0B6771"/>
    <w:rsid w:val="5F7800BE"/>
    <w:rsid w:val="5F88E868"/>
    <w:rsid w:val="5F89F71A"/>
    <w:rsid w:val="5FC6620B"/>
    <w:rsid w:val="5FECD3C8"/>
    <w:rsid w:val="6014BDF4"/>
    <w:rsid w:val="604C9E39"/>
    <w:rsid w:val="60532325"/>
    <w:rsid w:val="606FF03E"/>
    <w:rsid w:val="60B13B59"/>
    <w:rsid w:val="6124AC4C"/>
    <w:rsid w:val="6187B59C"/>
    <w:rsid w:val="61A87247"/>
    <w:rsid w:val="61D713CE"/>
    <w:rsid w:val="61DFB177"/>
    <w:rsid w:val="61F423E7"/>
    <w:rsid w:val="623455F5"/>
    <w:rsid w:val="62447CDB"/>
    <w:rsid w:val="626F6E96"/>
    <w:rsid w:val="62A9FC16"/>
    <w:rsid w:val="62C62368"/>
    <w:rsid w:val="62E89A11"/>
    <w:rsid w:val="62EFD2CF"/>
    <w:rsid w:val="62FDBF68"/>
    <w:rsid w:val="6308B719"/>
    <w:rsid w:val="631C552E"/>
    <w:rsid w:val="633F1CB1"/>
    <w:rsid w:val="63C9179A"/>
    <w:rsid w:val="63D818DF"/>
    <w:rsid w:val="63E91EAA"/>
    <w:rsid w:val="6445CC77"/>
    <w:rsid w:val="6448836B"/>
    <w:rsid w:val="64B2BE22"/>
    <w:rsid w:val="64C66C09"/>
    <w:rsid w:val="65198C75"/>
    <w:rsid w:val="65240A37"/>
    <w:rsid w:val="652DDC3A"/>
    <w:rsid w:val="6595B57D"/>
    <w:rsid w:val="65B137CC"/>
    <w:rsid w:val="65B62490"/>
    <w:rsid w:val="65EA7E69"/>
    <w:rsid w:val="65EB5FE7"/>
    <w:rsid w:val="66044959"/>
    <w:rsid w:val="663FD2A3"/>
    <w:rsid w:val="668CC3EC"/>
    <w:rsid w:val="66B38B32"/>
    <w:rsid w:val="66F9236D"/>
    <w:rsid w:val="67165AAB"/>
    <w:rsid w:val="67236D75"/>
    <w:rsid w:val="67696543"/>
    <w:rsid w:val="678E0DD1"/>
    <w:rsid w:val="678E763A"/>
    <w:rsid w:val="67AAFC6C"/>
    <w:rsid w:val="67C95494"/>
    <w:rsid w:val="67DBF12C"/>
    <w:rsid w:val="67DC186D"/>
    <w:rsid w:val="67E7BA6A"/>
    <w:rsid w:val="685595D3"/>
    <w:rsid w:val="68B7C74A"/>
    <w:rsid w:val="6907AB12"/>
    <w:rsid w:val="6916EB4F"/>
    <w:rsid w:val="693A6111"/>
    <w:rsid w:val="69756E6E"/>
    <w:rsid w:val="6978A9DF"/>
    <w:rsid w:val="698FF768"/>
    <w:rsid w:val="69CAB607"/>
    <w:rsid w:val="69E2F39C"/>
    <w:rsid w:val="69F10B11"/>
    <w:rsid w:val="6A0563C3"/>
    <w:rsid w:val="6A2A88A5"/>
    <w:rsid w:val="6A52F8EF"/>
    <w:rsid w:val="6A7D933D"/>
    <w:rsid w:val="6AB32D4D"/>
    <w:rsid w:val="6B1B9B1F"/>
    <w:rsid w:val="6B3403CB"/>
    <w:rsid w:val="6B534418"/>
    <w:rsid w:val="6B75644D"/>
    <w:rsid w:val="6B9BD30F"/>
    <w:rsid w:val="6BB1E8F4"/>
    <w:rsid w:val="6BD889F6"/>
    <w:rsid w:val="6BE25D94"/>
    <w:rsid w:val="6BE64FC9"/>
    <w:rsid w:val="6BF096AE"/>
    <w:rsid w:val="6C0105E5"/>
    <w:rsid w:val="6C177FCC"/>
    <w:rsid w:val="6C875CFB"/>
    <w:rsid w:val="6C889E8F"/>
    <w:rsid w:val="6C8D57C3"/>
    <w:rsid w:val="6CB76B80"/>
    <w:rsid w:val="6CBB1818"/>
    <w:rsid w:val="6CCB24FA"/>
    <w:rsid w:val="6CD93E8B"/>
    <w:rsid w:val="6CDA6793"/>
    <w:rsid w:val="6CDC611C"/>
    <w:rsid w:val="6D60AA81"/>
    <w:rsid w:val="6DAABB0D"/>
    <w:rsid w:val="6E1CAD3E"/>
    <w:rsid w:val="6E5DAE3E"/>
    <w:rsid w:val="6EF65CB4"/>
    <w:rsid w:val="6F26F0A3"/>
    <w:rsid w:val="6F7C016C"/>
    <w:rsid w:val="6FE62F36"/>
    <w:rsid w:val="700E7B85"/>
    <w:rsid w:val="70263630"/>
    <w:rsid w:val="7028FBA4"/>
    <w:rsid w:val="7039C6C7"/>
    <w:rsid w:val="7098CE0A"/>
    <w:rsid w:val="711E4D0C"/>
    <w:rsid w:val="713CCC97"/>
    <w:rsid w:val="713F5C3D"/>
    <w:rsid w:val="71548E38"/>
    <w:rsid w:val="715D4F59"/>
    <w:rsid w:val="7185A091"/>
    <w:rsid w:val="71934632"/>
    <w:rsid w:val="71A93162"/>
    <w:rsid w:val="71BDB2E9"/>
    <w:rsid w:val="71DECE22"/>
    <w:rsid w:val="72188DC1"/>
    <w:rsid w:val="72244C68"/>
    <w:rsid w:val="7270A11D"/>
    <w:rsid w:val="72A7513A"/>
    <w:rsid w:val="72DB43DF"/>
    <w:rsid w:val="732254C0"/>
    <w:rsid w:val="7334BE66"/>
    <w:rsid w:val="739558A3"/>
    <w:rsid w:val="73D68317"/>
    <w:rsid w:val="73EEFF99"/>
    <w:rsid w:val="74C482C6"/>
    <w:rsid w:val="74E60A13"/>
    <w:rsid w:val="751CAD98"/>
    <w:rsid w:val="757785B7"/>
    <w:rsid w:val="75A8F8C9"/>
    <w:rsid w:val="760464B1"/>
    <w:rsid w:val="7626992A"/>
    <w:rsid w:val="76A7AA68"/>
    <w:rsid w:val="76ADA9DA"/>
    <w:rsid w:val="76E34504"/>
    <w:rsid w:val="770210A9"/>
    <w:rsid w:val="7723E019"/>
    <w:rsid w:val="773E8E2D"/>
    <w:rsid w:val="774486C5"/>
    <w:rsid w:val="775210B9"/>
    <w:rsid w:val="78116B0D"/>
    <w:rsid w:val="782E4C85"/>
    <w:rsid w:val="784D0B63"/>
    <w:rsid w:val="7869ECD9"/>
    <w:rsid w:val="78AF2679"/>
    <w:rsid w:val="79BC6BB7"/>
    <w:rsid w:val="79BF289B"/>
    <w:rsid w:val="79CE7F46"/>
    <w:rsid w:val="7A3D197B"/>
    <w:rsid w:val="7A676DA3"/>
    <w:rsid w:val="7AA92461"/>
    <w:rsid w:val="7B505681"/>
    <w:rsid w:val="7B6AC7F1"/>
    <w:rsid w:val="7B74DFF2"/>
    <w:rsid w:val="7B982D55"/>
    <w:rsid w:val="7C081761"/>
    <w:rsid w:val="7C25DA1B"/>
    <w:rsid w:val="7C3627A0"/>
    <w:rsid w:val="7C4DDAC4"/>
    <w:rsid w:val="7CD79D51"/>
    <w:rsid w:val="7CE1FEE2"/>
    <w:rsid w:val="7CE5A97A"/>
    <w:rsid w:val="7CE76F5C"/>
    <w:rsid w:val="7D55AD65"/>
    <w:rsid w:val="7DA71451"/>
    <w:rsid w:val="7DAD51D5"/>
    <w:rsid w:val="7E356956"/>
    <w:rsid w:val="7E6B20BA"/>
    <w:rsid w:val="7EA43A30"/>
    <w:rsid w:val="7EB7E81C"/>
    <w:rsid w:val="7EF22BDB"/>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E9CB0"/>
  <w15:docId w15:val="{D9462722-B3CC-4A0F-866D-D05D5D4BB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s-ES_tradnl"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customStyle="1" w:styleId="Normal0">
    <w:name w:val="Normal0"/>
    <w:qFormat/>
    <w:rsid w:val="00EB64A4"/>
    <w:rPr>
      <w:lang w:val="es-ES"/>
    </w:rPr>
  </w:style>
  <w:style w:type="table" w:customStyle="1" w:styleId="NormalTable0">
    <w:name w:val="Normal Table0"/>
    <w:uiPriority w:val="99"/>
    <w:semiHidden/>
    <w:unhideWhenUsed/>
    <w:tblPr>
      <w:tblInd w:w="0" w:type="dxa"/>
      <w:tblCellMar>
        <w:top w:w="0" w:type="dxa"/>
        <w:left w:w="108" w:type="dxa"/>
        <w:bottom w:w="0" w:type="dxa"/>
        <w:right w:w="108" w:type="dxa"/>
      </w:tblCellMar>
    </w:tblPr>
  </w:style>
  <w:style w:type="paragraph" w:styleId="Encabezado">
    <w:name w:val="header"/>
    <w:basedOn w:val="Normal0"/>
    <w:link w:val="EncabezadoCar"/>
    <w:uiPriority w:val="99"/>
    <w:rsid w:val="009034B7"/>
    <w:pPr>
      <w:tabs>
        <w:tab w:val="center" w:pos="4419"/>
        <w:tab w:val="right" w:pos="8838"/>
      </w:tabs>
      <w:spacing w:after="0" w:line="240" w:lineRule="auto"/>
    </w:pPr>
    <w:rPr>
      <w:rFonts w:ascii="Times New Roman" w:eastAsia="MS Mincho" w:hAnsi="Times New Roman" w:cs="Times New Roman"/>
      <w:sz w:val="24"/>
      <w:szCs w:val="24"/>
      <w:lang w:val="es-CO"/>
    </w:rPr>
  </w:style>
  <w:style w:type="character" w:customStyle="1" w:styleId="EncabezadoCar">
    <w:name w:val="Encabezado Car"/>
    <w:basedOn w:val="Fuentedeprrafopredeter"/>
    <w:link w:val="Encabezado"/>
    <w:uiPriority w:val="99"/>
    <w:rsid w:val="009034B7"/>
    <w:rPr>
      <w:rFonts w:ascii="Times New Roman" w:eastAsia="MS Mincho" w:hAnsi="Times New Roman" w:cs="Times New Roman"/>
      <w:sz w:val="24"/>
      <w:szCs w:val="24"/>
      <w:lang w:eastAsia="es-CO"/>
    </w:rPr>
  </w:style>
  <w:style w:type="paragraph" w:styleId="Piedepgina">
    <w:name w:val="footer"/>
    <w:basedOn w:val="Normal0"/>
    <w:link w:val="PiedepginaCar"/>
    <w:uiPriority w:val="99"/>
    <w:rsid w:val="009034B7"/>
    <w:pPr>
      <w:tabs>
        <w:tab w:val="center" w:pos="4419"/>
        <w:tab w:val="right" w:pos="8838"/>
      </w:tabs>
      <w:spacing w:after="0" w:line="240" w:lineRule="auto"/>
    </w:pPr>
    <w:rPr>
      <w:rFonts w:ascii="Times New Roman" w:eastAsia="MS Mincho" w:hAnsi="Times New Roman" w:cs="Times New Roman"/>
      <w:sz w:val="24"/>
      <w:szCs w:val="24"/>
      <w:lang w:val="es-CO"/>
    </w:rPr>
  </w:style>
  <w:style w:type="character" w:customStyle="1" w:styleId="PiedepginaCar">
    <w:name w:val="Pie de página Car"/>
    <w:basedOn w:val="Fuentedeprrafopredeter"/>
    <w:link w:val="Piedepgina"/>
    <w:uiPriority w:val="99"/>
    <w:rsid w:val="009034B7"/>
    <w:rPr>
      <w:rFonts w:ascii="Times New Roman" w:eastAsia="MS Mincho" w:hAnsi="Times New Roman" w:cs="Times New Roman"/>
      <w:sz w:val="24"/>
      <w:szCs w:val="24"/>
      <w:lang w:eastAsia="es-CO"/>
    </w:rPr>
  </w:style>
  <w:style w:type="paragraph" w:styleId="Sinespaciado">
    <w:name w:val="No Spacing"/>
    <w:uiPriority w:val="1"/>
    <w:qFormat/>
    <w:rsid w:val="009034B7"/>
    <w:pPr>
      <w:spacing w:after="0" w:line="240" w:lineRule="auto"/>
    </w:pPr>
    <w:rPr>
      <w:rFonts w:ascii="Times New Roman" w:eastAsia="MS Mincho" w:hAnsi="Times New Roman" w:cs="Times New Roman"/>
      <w:sz w:val="24"/>
      <w:szCs w:val="24"/>
    </w:rPr>
  </w:style>
  <w:style w:type="paragraph" w:customStyle="1" w:styleId="Normal11pt">
    <w:name w:val="Normal + 11 pt"/>
    <w:aliases w:val="Negro,Justificado,Izquierda:  -0,95 cm,Derecha:  0,04 cm"/>
    <w:basedOn w:val="Normal0"/>
    <w:uiPriority w:val="99"/>
    <w:rsid w:val="009034B7"/>
    <w:pPr>
      <w:spacing w:after="0" w:line="240" w:lineRule="auto"/>
      <w:ind w:left="-540"/>
      <w:jc w:val="both"/>
    </w:pPr>
    <w:rPr>
      <w:rFonts w:ascii="Arial" w:eastAsia="Times New Roman" w:hAnsi="Arial" w:cs="Arial"/>
      <w:color w:val="000000"/>
      <w:lang w:val="es-ES_tradnl" w:eastAsia="es-ES"/>
    </w:rPr>
  </w:style>
  <w:style w:type="paragraph" w:styleId="Textonotapie">
    <w:name w:val="footnote text"/>
    <w:aliases w:val="Footnote Text Char Char Char Char Char,Footnote Text Char Char Char Char,Ref. de nota al pie1,FA Fu,texto de nota al pie,Footnote Text Char Char Char,Footnote Text Char,Car Car,Footnote reference,Car,ft Car, Car,Nota a pie/Bibliog,ft"/>
    <w:basedOn w:val="Normal0"/>
    <w:link w:val="TextonotapieCar"/>
    <w:uiPriority w:val="99"/>
    <w:unhideWhenUsed/>
    <w:qFormat/>
    <w:rsid w:val="009034B7"/>
    <w:pPr>
      <w:spacing w:after="0" w:line="240" w:lineRule="auto"/>
    </w:pPr>
    <w:rPr>
      <w:rFonts w:ascii="Times New Roman" w:eastAsia="MS Mincho" w:hAnsi="Times New Roman" w:cs="Times New Roman"/>
      <w:sz w:val="20"/>
      <w:szCs w:val="20"/>
      <w:lang w:val="es-CO"/>
    </w:rPr>
  </w:style>
  <w:style w:type="character" w:customStyle="1" w:styleId="TextonotapieCar">
    <w:name w:val="Texto nota pie Car"/>
    <w:aliases w:val="Footnote Text Char Char Char Char Char Car,Footnote Text Char Char Char Char Car,Ref. de nota al pie1 Car,FA Fu Car,texto de nota al pie Car,Footnote Text Char Char Char Car,Footnote Text Char Car,Car Car Car,Footnote reference Car"/>
    <w:basedOn w:val="Fuentedeprrafopredeter"/>
    <w:link w:val="Textonotapie"/>
    <w:uiPriority w:val="99"/>
    <w:rsid w:val="009034B7"/>
    <w:rPr>
      <w:rFonts w:ascii="Times New Roman" w:eastAsia="MS Mincho" w:hAnsi="Times New Roman" w:cs="Times New Roman"/>
      <w:sz w:val="20"/>
      <w:szCs w:val="20"/>
      <w:lang w:eastAsia="es-CO"/>
    </w:rPr>
  </w:style>
  <w:style w:type="character" w:styleId="Refdenotaalpie">
    <w:name w:val="footnote reference"/>
    <w:aliases w:val="referencia nota al pie,Texto de nota al pie,Nota de pie,Texto nota al pie,Appel note de bas de page,Footnotes refss,Ref. de nota al pie2,Massilia Footnote Reference,Pie de pagina,Ref. de nota al pie 2,Footnote number,BVI fnr,f,16 Poi"/>
    <w:uiPriority w:val="99"/>
    <w:unhideWhenUsed/>
    <w:qFormat/>
    <w:rsid w:val="009034B7"/>
    <w:rPr>
      <w:vertAlign w:val="superscript"/>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0"/>
    <w:link w:val="PrrafodelistaCar"/>
    <w:uiPriority w:val="34"/>
    <w:qFormat/>
    <w:rsid w:val="009034B7"/>
    <w:pPr>
      <w:ind w:left="720"/>
      <w:contextualSpacing/>
    </w:pPr>
    <w:rPr>
      <w:rFonts w:cs="Times New Roman"/>
      <w:lang w:val="es-CO"/>
    </w:rPr>
  </w:style>
  <w:style w:type="paragraph" w:styleId="NormalWeb">
    <w:name w:val="Normal (Web)"/>
    <w:basedOn w:val="Normal0"/>
    <w:uiPriority w:val="99"/>
    <w:unhideWhenUsed/>
    <w:rsid w:val="009034B7"/>
    <w:pPr>
      <w:spacing w:before="100" w:beforeAutospacing="1" w:after="100" w:afterAutospacing="1" w:line="240" w:lineRule="auto"/>
    </w:pPr>
    <w:rPr>
      <w:rFonts w:ascii="Times New Roman" w:eastAsia="Times New Roman" w:hAnsi="Times New Roman" w:cs="Times New Roman"/>
      <w:sz w:val="24"/>
      <w:szCs w:val="24"/>
      <w:lang w:val="es-CO"/>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9034B7"/>
    <w:rPr>
      <w:rFonts w:ascii="Calibri" w:eastAsia="Calibri" w:hAnsi="Calibri" w:cs="Times New Roman"/>
    </w:rPr>
  </w:style>
  <w:style w:type="character" w:styleId="Refdecomentario">
    <w:name w:val="annotation reference"/>
    <w:basedOn w:val="Fuentedeprrafopredeter"/>
    <w:uiPriority w:val="99"/>
    <w:unhideWhenUsed/>
    <w:rsid w:val="009034B7"/>
    <w:rPr>
      <w:sz w:val="16"/>
      <w:szCs w:val="16"/>
    </w:rPr>
  </w:style>
  <w:style w:type="paragraph" w:styleId="Textocomentario">
    <w:name w:val="annotation text"/>
    <w:basedOn w:val="Normal0"/>
    <w:link w:val="TextocomentarioCar"/>
    <w:uiPriority w:val="99"/>
    <w:unhideWhenUsed/>
    <w:rsid w:val="009034B7"/>
    <w:pPr>
      <w:spacing w:line="240" w:lineRule="auto"/>
    </w:pPr>
    <w:rPr>
      <w:sz w:val="20"/>
      <w:szCs w:val="20"/>
    </w:rPr>
  </w:style>
  <w:style w:type="character" w:customStyle="1" w:styleId="TextocomentarioCar">
    <w:name w:val="Texto comentario Car"/>
    <w:basedOn w:val="Fuentedeprrafopredeter"/>
    <w:link w:val="Textocomentario"/>
    <w:uiPriority w:val="99"/>
    <w:rsid w:val="009034B7"/>
    <w:rPr>
      <w:sz w:val="20"/>
      <w:szCs w:val="20"/>
      <w:lang w:val="es-ES"/>
    </w:rPr>
  </w:style>
  <w:style w:type="character" w:styleId="Hipervnculo">
    <w:name w:val="Hyperlink"/>
    <w:basedOn w:val="Fuentedeprrafopredeter"/>
    <w:uiPriority w:val="99"/>
    <w:unhideWhenUsed/>
    <w:rsid w:val="009034B7"/>
    <w:rPr>
      <w:color w:val="0000FF"/>
      <w:u w:val="single"/>
    </w:rPr>
  </w:style>
  <w:style w:type="paragraph" w:styleId="Textodeglobo">
    <w:name w:val="Balloon Text"/>
    <w:basedOn w:val="Normal0"/>
    <w:link w:val="TextodegloboCar"/>
    <w:uiPriority w:val="99"/>
    <w:semiHidden/>
    <w:unhideWhenUsed/>
    <w:rsid w:val="009034B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34B7"/>
    <w:rPr>
      <w:rFonts w:ascii="Segoe UI" w:hAnsi="Segoe UI" w:cs="Segoe UI"/>
      <w:sz w:val="18"/>
      <w:szCs w:val="18"/>
      <w:lang w:val="es-ES"/>
    </w:rPr>
  </w:style>
  <w:style w:type="paragraph" w:styleId="Asuntodelcomentario">
    <w:name w:val="annotation subject"/>
    <w:basedOn w:val="Textocomentario"/>
    <w:next w:val="Textocomentario"/>
    <w:link w:val="AsuntodelcomentarioCar"/>
    <w:uiPriority w:val="99"/>
    <w:semiHidden/>
    <w:unhideWhenUsed/>
    <w:rsid w:val="00822BB7"/>
    <w:rPr>
      <w:b/>
      <w:bCs/>
    </w:rPr>
  </w:style>
  <w:style w:type="character" w:customStyle="1" w:styleId="AsuntodelcomentarioCar">
    <w:name w:val="Asunto del comentario Car"/>
    <w:basedOn w:val="TextocomentarioCar"/>
    <w:link w:val="Asuntodelcomentario"/>
    <w:uiPriority w:val="99"/>
    <w:semiHidden/>
    <w:rsid w:val="00822BB7"/>
    <w:rPr>
      <w:b/>
      <w:bCs/>
      <w:sz w:val="20"/>
      <w:szCs w:val="20"/>
      <w:lang w:val="es-ES"/>
    </w:rPr>
  </w:style>
  <w:style w:type="table" w:styleId="Tablaconcuadrcula">
    <w:name w:val="Table Grid"/>
    <w:basedOn w:val="NormalTable0"/>
    <w:uiPriority w:val="59"/>
    <w:rsid w:val="00A2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nfasis21">
    <w:name w:val="Tabla con cuadrícula 2 - Énfasis 21"/>
    <w:basedOn w:val="NormalTable0"/>
    <w:uiPriority w:val="47"/>
    <w:rsid w:val="00B8091C"/>
    <w:pPr>
      <w:spacing w:after="0" w:line="240" w:lineRule="auto"/>
    </w:pPr>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Tabladelista3-nfasis31">
    <w:name w:val="Tabla de lista 3 - Énfasis 31"/>
    <w:basedOn w:val="NormalTable0"/>
    <w:uiPriority w:val="48"/>
    <w:rsid w:val="002D7398"/>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customStyle="1" w:styleId="Tablaconcuadrcula5oscura-nfasis31">
    <w:name w:val="Tabla con cuadrícula 5 oscura - Énfasis 31"/>
    <w:basedOn w:val="NormalTable0"/>
    <w:uiPriority w:val="50"/>
    <w:rsid w:val="006736D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Tablaconcuadrcula4-nfasis31">
    <w:name w:val="Tabla con cuadrícula 4 - Énfasis 31"/>
    <w:basedOn w:val="NormalTable0"/>
    <w:uiPriority w:val="49"/>
    <w:rsid w:val="006736D5"/>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customStyle="1" w:styleId="textrun">
    <w:name w:val="textrun"/>
    <w:basedOn w:val="Fuentedeprrafopredeter"/>
    <w:rsid w:val="00D3692F"/>
  </w:style>
  <w:style w:type="character" w:customStyle="1" w:styleId="normaltextrun">
    <w:name w:val="normaltextrun"/>
    <w:basedOn w:val="Fuentedeprrafopredeter"/>
    <w:rsid w:val="00D3692F"/>
  </w:style>
  <w:style w:type="character" w:customStyle="1" w:styleId="eop">
    <w:name w:val="eop"/>
    <w:basedOn w:val="Fuentedeprrafopredeter"/>
    <w:rsid w:val="00D3692F"/>
  </w:style>
  <w:style w:type="table" w:customStyle="1" w:styleId="Tablaconcuadrcula1">
    <w:name w:val="Tabla con cuadrícula1"/>
    <w:basedOn w:val="NormalTable0"/>
    <w:uiPriority w:val="59"/>
    <w:rsid w:val="002F1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AB382B"/>
    <w:rPr>
      <w:color w:val="605E5C"/>
      <w:shd w:val="clear" w:color="auto" w:fill="E1DFDD"/>
    </w:rPr>
  </w:style>
  <w:style w:type="paragraph" w:styleId="Sangradetextonormal">
    <w:name w:val="Body Text Indent"/>
    <w:basedOn w:val="Normal0"/>
    <w:link w:val="SangradetextonormalCar"/>
    <w:uiPriority w:val="99"/>
    <w:semiHidden/>
    <w:unhideWhenUsed/>
    <w:rsid w:val="00407523"/>
    <w:pPr>
      <w:spacing w:before="100" w:beforeAutospacing="1" w:after="100" w:afterAutospacing="1" w:line="240" w:lineRule="auto"/>
    </w:pPr>
    <w:rPr>
      <w:rFonts w:ascii="Times New Roman" w:eastAsia="Times New Roman" w:hAnsi="Times New Roman" w:cs="Times New Roman"/>
      <w:sz w:val="24"/>
      <w:szCs w:val="24"/>
      <w:lang w:val="es-CO"/>
    </w:rPr>
  </w:style>
  <w:style w:type="character" w:customStyle="1" w:styleId="SangradetextonormalCar">
    <w:name w:val="Sangría de texto normal Car"/>
    <w:basedOn w:val="Fuentedeprrafopredeter"/>
    <w:link w:val="Sangradetextonormal"/>
    <w:uiPriority w:val="99"/>
    <w:semiHidden/>
    <w:rsid w:val="00407523"/>
    <w:rPr>
      <w:rFonts w:ascii="Times New Roman" w:eastAsia="Times New Roman" w:hAnsi="Times New Roman" w:cs="Times New Roman"/>
      <w:sz w:val="24"/>
      <w:szCs w:val="24"/>
      <w:lang w:eastAsia="es-CO"/>
    </w:rPr>
  </w:style>
  <w:style w:type="table" w:customStyle="1" w:styleId="Tablaconcuadrcula11">
    <w:name w:val="Tabla con cuadrícula11"/>
    <w:basedOn w:val="NormalTable0"/>
    <w:next w:val="Tablaconcuadrcula"/>
    <w:uiPriority w:val="59"/>
    <w:rsid w:val="00563DA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DF09F1"/>
    <w:rPr>
      <w:color w:val="954F72" w:themeColor="followedHyperlink"/>
      <w:u w:val="single"/>
    </w:rPr>
  </w:style>
  <w:style w:type="paragraph" w:styleId="Subttulo">
    <w:name w:val="Subtitle"/>
    <w:basedOn w:val="Normal0"/>
    <w:next w:val="Normal0"/>
    <w:uiPriority w:val="11"/>
    <w:qFormat/>
    <w:pPr>
      <w:keepNext/>
      <w:keepLines/>
      <w:spacing w:before="360" w:after="80"/>
    </w:pPr>
    <w:rPr>
      <w:rFonts w:ascii="Georgia" w:eastAsia="Georgia" w:hAnsi="Georgia" w:cs="Georgia"/>
      <w:i/>
      <w:color w:val="666666"/>
      <w:sz w:val="48"/>
      <w:szCs w:val="48"/>
    </w:rPr>
  </w:style>
  <w:style w:type="table" w:customStyle="1" w:styleId="a">
    <w:basedOn w:val="Tablanormal"/>
    <w:tblPr>
      <w:tblStyleRowBandSize w:val="1"/>
      <w:tblStyleColBandSize w:val="1"/>
      <w:tblCellMar>
        <w:left w:w="70" w:type="dxa"/>
        <w:right w:w="70" w:type="dxa"/>
      </w:tblCellMar>
    </w:tblPr>
  </w:style>
  <w:style w:type="table" w:customStyle="1" w:styleId="a0">
    <w:basedOn w:val="Tablanormal"/>
    <w:pPr>
      <w:spacing w:after="0" w:line="240" w:lineRule="auto"/>
    </w:pPr>
    <w:tblPr>
      <w:tblStyleRowBandSize w:val="1"/>
      <w:tblStyleColBandSize w:val="1"/>
    </w:tblPr>
    <w:tcPr>
      <w:shd w:val="clear" w:color="auto" w:fill="EDEDED"/>
    </w:tcPr>
  </w:style>
  <w:style w:type="table" w:customStyle="1" w:styleId="a1">
    <w:basedOn w:val="Tablanormal"/>
    <w:pPr>
      <w:spacing w:after="0" w:line="240" w:lineRule="auto"/>
    </w:pPr>
    <w:tblPr>
      <w:tblStyleRowBandSize w:val="1"/>
      <w:tblStyleColBandSize w:val="1"/>
    </w:tblPr>
    <w:tcPr>
      <w:shd w:val="clear" w:color="auto" w:fill="EDEDED"/>
    </w:tcPr>
  </w:style>
  <w:style w:type="character" w:customStyle="1" w:styleId="baj">
    <w:name w:val="b_aj"/>
    <w:basedOn w:val="Fuentedeprrafopredeter"/>
    <w:rsid w:val="00921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7794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PQ3vR+2Gp1iRq532yTinTjM9CA==">AMUW2mUGTfk7K3W/1iR+gzGuk+QM1CZf18fclOUtmTfAOfMFTlR/W2K53hUi4x5zeZN4sIuzZmpWz9iQV3XESlQvvB4no2cR7Jv8qP3H/4/ubOlZ76FvtnthDOyfJ1/en3Qm+xpvQ2+WNVhf/Oo8bcqCQ9oGBMt7Dk14KtJMgZZxx7LuJBNEJI5M3g1DBI2AKmy13C+MJHMq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A65651D-3CA0-43B9-A880-9939EB69AAD9}">
  <ds:schemaRefs>
    <ds:schemaRef ds:uri="http://schemas.openxmlformats.org/officeDocument/2006/bibliography"/>
  </ds:schemaRefs>
</ds:datastoreItem>
</file>

<file path=customXml/itemProps3.xml><?xml version="1.0" encoding="utf-8"?>
<ds:datastoreItem xmlns:ds="http://schemas.openxmlformats.org/officeDocument/2006/customXml" ds:itemID="{CD4C1031-8D44-4D81-A17F-A75813F58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8A9D62-9B94-40F9-A761-2454E7AFEFBE}">
  <ds:schemaRefs>
    <ds:schemaRef ds:uri="http://schemas.microsoft.com/sharepoint/v3/contenttype/forms"/>
  </ds:schemaRefs>
</ds:datastoreItem>
</file>

<file path=customXml/itemProps5.xml><?xml version="1.0" encoding="utf-8"?>
<ds:datastoreItem xmlns:ds="http://schemas.openxmlformats.org/officeDocument/2006/customXml" ds:itemID="{AEEF7D86-B64A-45A2-BB78-D59446BDAAAE}">
  <ds:schemaRefs>
    <ds:schemaRef ds:uri="http://schemas.microsoft.com/office/2006/metadata/properties"/>
    <ds:schemaRef ds:uri="http://schemas.microsoft.com/office/infopath/2007/PartnerControls"/>
    <ds:schemaRef ds:uri="9d85dbaf-23eb-4e57-a637-93dcacc8b1a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6071</Words>
  <Characters>33392</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Alexandra Acevedo Villalba</dc:creator>
  <cp:keywords/>
  <cp:lastModifiedBy>Sara Milena Nuñez Aldana</cp:lastModifiedBy>
  <cp:revision>5</cp:revision>
  <dcterms:created xsi:type="dcterms:W3CDTF">2021-03-10T14:49:00Z</dcterms:created>
  <dcterms:modified xsi:type="dcterms:W3CDTF">2021-03-10T14:50:00Z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19896300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