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9EA" w:rsidRPr="00A449EA" w:rsidRDefault="00A449EA" w:rsidP="00A449EA">
      <w:pPr>
        <w:shd w:val="clear" w:color="auto" w:fill="FFFFFF"/>
        <w:spacing w:after="0" w:line="240" w:lineRule="auto"/>
        <w:jc w:val="center"/>
        <w:rPr>
          <w:rFonts w:ascii="Times New Roman" w:eastAsia="Times New Roman" w:hAnsi="Times New Roman" w:cs="Times New Roman"/>
          <w:color w:val="222222"/>
          <w:sz w:val="24"/>
          <w:szCs w:val="24"/>
          <w:lang w:eastAsia="es-CO"/>
        </w:rPr>
      </w:pPr>
      <w:r w:rsidRPr="00A449EA">
        <w:rPr>
          <w:rFonts w:ascii="Century Gothic" w:eastAsia="Times New Roman" w:hAnsi="Century Gothic" w:cs="Times New Roman"/>
          <w:b/>
          <w:bCs/>
          <w:color w:val="222222"/>
          <w:sz w:val="24"/>
          <w:szCs w:val="24"/>
          <w:lang w:val="es-MX" w:eastAsia="es-CO"/>
        </w:rPr>
        <w:t>COMUNICADO DE PRENSA</w:t>
      </w:r>
    </w:p>
    <w:p w:rsidR="00A449EA" w:rsidRPr="00A449EA" w:rsidRDefault="00A449EA" w:rsidP="00A449EA">
      <w:pPr>
        <w:shd w:val="clear" w:color="auto" w:fill="FFFFFF"/>
        <w:spacing w:after="0" w:line="240" w:lineRule="auto"/>
        <w:jc w:val="center"/>
        <w:rPr>
          <w:rFonts w:ascii="Times New Roman" w:eastAsia="Times New Roman" w:hAnsi="Times New Roman" w:cs="Times New Roman"/>
          <w:color w:val="222222"/>
          <w:sz w:val="24"/>
          <w:szCs w:val="24"/>
          <w:lang w:eastAsia="es-CO"/>
        </w:rPr>
      </w:pPr>
      <w:r w:rsidRPr="00A449EA">
        <w:rPr>
          <w:rFonts w:ascii="Century Gothic" w:eastAsia="Times New Roman" w:hAnsi="Century Gothic" w:cs="Times New Roman"/>
          <w:b/>
          <w:bCs/>
          <w:color w:val="222222"/>
          <w:sz w:val="24"/>
          <w:szCs w:val="24"/>
          <w:lang w:val="es-MX" w:eastAsia="es-CO"/>
        </w:rPr>
        <w:t>DE LA SALA ADMINISTRATIVA DEL CONSEJO SUPERIOR DE LA JUDICATURA</w:t>
      </w:r>
    </w:p>
    <w:p w:rsidR="00A449EA" w:rsidRPr="00A449EA" w:rsidRDefault="00A449EA" w:rsidP="00A449EA">
      <w:pPr>
        <w:shd w:val="clear" w:color="auto" w:fill="FFFFFF"/>
        <w:spacing w:after="0" w:line="240" w:lineRule="auto"/>
        <w:jc w:val="center"/>
        <w:rPr>
          <w:rFonts w:ascii="Times New Roman" w:eastAsia="Times New Roman" w:hAnsi="Times New Roman" w:cs="Times New Roman"/>
          <w:color w:val="222222"/>
          <w:sz w:val="24"/>
          <w:szCs w:val="24"/>
          <w:lang w:eastAsia="es-CO"/>
        </w:rPr>
      </w:pPr>
      <w:r w:rsidRPr="00A449EA">
        <w:rPr>
          <w:rFonts w:ascii="Century Gothic" w:eastAsia="Times New Roman" w:hAnsi="Century Gothic" w:cs="Times New Roman"/>
          <w:b/>
          <w:bCs/>
          <w:color w:val="222222"/>
          <w:sz w:val="24"/>
          <w:szCs w:val="24"/>
          <w:lang w:val="es-MX" w:eastAsia="es-CO"/>
        </w:rPr>
        <w:t>Bogotá, D.C., 2 de enero de 2013</w:t>
      </w:r>
    </w:p>
    <w:p w:rsidR="00A449EA" w:rsidRPr="00A449EA" w:rsidRDefault="00A449EA" w:rsidP="00A449EA">
      <w:pPr>
        <w:shd w:val="clear" w:color="auto" w:fill="FFFFFF"/>
        <w:spacing w:after="0" w:line="240" w:lineRule="auto"/>
        <w:jc w:val="center"/>
        <w:rPr>
          <w:rFonts w:ascii="Times New Roman" w:eastAsia="Times New Roman" w:hAnsi="Times New Roman" w:cs="Times New Roman"/>
          <w:color w:val="222222"/>
          <w:sz w:val="24"/>
          <w:szCs w:val="24"/>
          <w:lang w:eastAsia="es-CO"/>
        </w:rPr>
      </w:pPr>
      <w:r w:rsidRPr="00A449EA">
        <w:rPr>
          <w:rFonts w:ascii="Century Gothic" w:eastAsia="Times New Roman" w:hAnsi="Century Gothic" w:cs="Times New Roman"/>
          <w:b/>
          <w:bCs/>
          <w:color w:val="222222"/>
          <w:sz w:val="24"/>
          <w:szCs w:val="24"/>
          <w:lang w:val="es-MX" w:eastAsia="es-CO"/>
        </w:rPr>
        <w:t> </w:t>
      </w:r>
    </w:p>
    <w:p w:rsidR="00A449EA" w:rsidRPr="00A449EA" w:rsidRDefault="00A449EA" w:rsidP="00A449EA">
      <w:pPr>
        <w:shd w:val="clear" w:color="auto" w:fill="FFFFFF"/>
        <w:spacing w:after="0" w:line="240" w:lineRule="auto"/>
        <w:jc w:val="center"/>
        <w:rPr>
          <w:rFonts w:ascii="Times New Roman" w:eastAsia="Times New Roman" w:hAnsi="Times New Roman" w:cs="Times New Roman"/>
          <w:color w:val="222222"/>
          <w:sz w:val="24"/>
          <w:szCs w:val="24"/>
          <w:lang w:eastAsia="es-CO"/>
        </w:rPr>
      </w:pPr>
      <w:r w:rsidRPr="00A449EA">
        <w:rPr>
          <w:rFonts w:ascii="Century Gothic" w:eastAsia="Times New Roman" w:hAnsi="Century Gothic" w:cs="Times New Roman"/>
          <w:b/>
          <w:bCs/>
          <w:color w:val="222222"/>
          <w:sz w:val="24"/>
          <w:szCs w:val="24"/>
          <w:lang w:val="es-MX" w:eastAsia="es-CO"/>
        </w:rPr>
        <w:t> </w:t>
      </w:r>
    </w:p>
    <w:p w:rsidR="00A449EA" w:rsidRPr="00A449EA" w:rsidRDefault="00A449EA" w:rsidP="00A449EA">
      <w:pPr>
        <w:shd w:val="clear" w:color="auto" w:fill="FFFFFF"/>
        <w:spacing w:after="0" w:line="240" w:lineRule="auto"/>
        <w:jc w:val="center"/>
        <w:rPr>
          <w:rFonts w:ascii="Times New Roman" w:eastAsia="Times New Roman" w:hAnsi="Times New Roman" w:cs="Times New Roman"/>
          <w:color w:val="222222"/>
          <w:sz w:val="24"/>
          <w:szCs w:val="24"/>
          <w:lang w:eastAsia="es-CO"/>
        </w:rPr>
      </w:pPr>
      <w:r w:rsidRPr="00A449EA">
        <w:rPr>
          <w:rFonts w:ascii="Century Gothic" w:eastAsia="Times New Roman" w:hAnsi="Century Gothic" w:cs="Times New Roman"/>
          <w:b/>
          <w:bCs/>
          <w:color w:val="222222"/>
          <w:sz w:val="24"/>
          <w:szCs w:val="24"/>
          <w:lang w:val="es-MX" w:eastAsia="es-CO"/>
        </w:rPr>
        <w:t>Impacto del paro judicial</w:t>
      </w:r>
    </w:p>
    <w:p w:rsidR="00A449EA" w:rsidRPr="00A449EA" w:rsidRDefault="00A449EA" w:rsidP="00A449EA">
      <w:pPr>
        <w:shd w:val="clear" w:color="auto" w:fill="FFFFFF"/>
        <w:spacing w:after="0" w:line="240" w:lineRule="auto"/>
        <w:jc w:val="center"/>
        <w:rPr>
          <w:rFonts w:ascii="Times New Roman" w:eastAsia="Times New Roman" w:hAnsi="Times New Roman" w:cs="Times New Roman"/>
          <w:color w:val="222222"/>
          <w:sz w:val="24"/>
          <w:szCs w:val="24"/>
          <w:lang w:eastAsia="es-CO"/>
        </w:rPr>
      </w:pPr>
      <w:r w:rsidRPr="00A449EA">
        <w:rPr>
          <w:rFonts w:ascii="Century Gothic" w:eastAsia="Times New Roman" w:hAnsi="Century Gothic" w:cs="Times New Roman"/>
          <w:b/>
          <w:bCs/>
          <w:color w:val="222222"/>
          <w:sz w:val="24"/>
          <w:szCs w:val="24"/>
          <w:lang w:val="es-MX" w:eastAsia="es-CO"/>
        </w:rPr>
        <w:t> </w:t>
      </w:r>
    </w:p>
    <w:p w:rsidR="00A449EA" w:rsidRDefault="00A449EA" w:rsidP="00A449EA">
      <w:pPr>
        <w:shd w:val="clear" w:color="auto" w:fill="FFFFFF"/>
        <w:spacing w:after="0" w:line="240" w:lineRule="auto"/>
        <w:jc w:val="both"/>
        <w:rPr>
          <w:rFonts w:ascii="Century Gothic" w:eastAsia="Times New Roman" w:hAnsi="Century Gothic" w:cs="Times New Roman"/>
          <w:color w:val="222222"/>
          <w:sz w:val="24"/>
          <w:szCs w:val="24"/>
          <w:lang w:eastAsia="es-CO"/>
        </w:rPr>
      </w:pPr>
      <w:r w:rsidRPr="00A449EA">
        <w:rPr>
          <w:rFonts w:ascii="Century Gothic" w:eastAsia="Times New Roman" w:hAnsi="Century Gothic" w:cs="Times New Roman"/>
          <w:color w:val="222222"/>
          <w:sz w:val="24"/>
          <w:szCs w:val="24"/>
          <w:lang w:val="es-MX" w:eastAsia="es-CO"/>
        </w:rPr>
        <w:t>La Sala Administrativa del Consejo Superior de la Judicatura informa que e</w:t>
      </w:r>
      <w:r w:rsidRPr="00A449EA">
        <w:rPr>
          <w:rFonts w:ascii="Century Gothic" w:eastAsia="Times New Roman" w:hAnsi="Century Gothic" w:cs="Times New Roman"/>
          <w:color w:val="222222"/>
          <w:sz w:val="24"/>
          <w:szCs w:val="24"/>
          <w:lang w:eastAsia="es-CO"/>
        </w:rPr>
        <w:t>l costo del paro judicial se calcula en términos presupuestales en $65.121.960.000 pesos y en términos de audiencias o providencias dejadas de realizar en 168.000 actuaciones.</w:t>
      </w:r>
    </w:p>
    <w:p w:rsidR="00A449EA" w:rsidRPr="00A449EA" w:rsidRDefault="00A449EA" w:rsidP="00A449EA">
      <w:pPr>
        <w:shd w:val="clear" w:color="auto" w:fill="FFFFFF"/>
        <w:spacing w:after="0" w:line="240" w:lineRule="auto"/>
        <w:jc w:val="both"/>
        <w:rPr>
          <w:rFonts w:ascii="Times New Roman" w:eastAsia="Times New Roman" w:hAnsi="Times New Roman" w:cs="Times New Roman"/>
          <w:color w:val="222222"/>
          <w:sz w:val="24"/>
          <w:szCs w:val="24"/>
          <w:lang w:eastAsia="es-CO"/>
        </w:rPr>
      </w:pPr>
    </w:p>
    <w:p w:rsidR="00A449EA" w:rsidRPr="00A449EA" w:rsidRDefault="00A449EA" w:rsidP="00A449EA">
      <w:pPr>
        <w:shd w:val="clear" w:color="auto" w:fill="FFFFFF"/>
        <w:spacing w:after="0" w:line="240" w:lineRule="auto"/>
        <w:jc w:val="both"/>
        <w:rPr>
          <w:rFonts w:ascii="Times New Roman" w:eastAsia="Times New Roman" w:hAnsi="Times New Roman" w:cs="Times New Roman"/>
          <w:color w:val="222222"/>
          <w:sz w:val="24"/>
          <w:szCs w:val="24"/>
          <w:lang w:eastAsia="es-CO"/>
        </w:rPr>
      </w:pPr>
      <w:r w:rsidRPr="00A449EA">
        <w:rPr>
          <w:rFonts w:ascii="Century Gothic" w:eastAsia="Times New Roman" w:hAnsi="Century Gothic" w:cs="Times New Roman"/>
          <w:color w:val="222222"/>
          <w:sz w:val="24"/>
          <w:szCs w:val="24"/>
          <w:lang w:eastAsia="es-CO"/>
        </w:rPr>
        <w:t>En primer lugar, el valor económico del paro judicial resulta de establecer el costo por cada día hábil dejado de trabajar, ya que los días no hábiles de todos modos había que cancelarlos; para establecer ese costo hay que tomar en consideración el valor proporcional de la nómina de los servidores judiciales y demás gastos salariales y administrativos. Luego, ese costo diario se aplica al porcentaje de despachos que estaban en paro durante el tiempo correspondiente, pues durante el cese de actividades es posible distinguir tres intensidades diversas de interrupción del servicio, así: el período que comenzó el jueves 11 de octubre y se prolongó hasta el 13 de noviembre tuvo una participación o respaldo del 98% de los despachos judiciales; a partir de esa fecha y hasta el 29 de noviembre la participación bajó al 49%; y entre el 30 de noviembre y el 10 de diciembre, cuando culminó el paro, la participación fue del 14% de los despachos.</w:t>
      </w:r>
    </w:p>
    <w:p w:rsidR="00A449EA" w:rsidRDefault="00A449EA" w:rsidP="00A449EA">
      <w:pPr>
        <w:shd w:val="clear" w:color="auto" w:fill="FFFFFF"/>
        <w:spacing w:after="0" w:line="240" w:lineRule="auto"/>
        <w:jc w:val="both"/>
        <w:rPr>
          <w:rFonts w:ascii="Century Gothic" w:eastAsia="Times New Roman" w:hAnsi="Century Gothic" w:cs="Times New Roman"/>
          <w:color w:val="222222"/>
          <w:sz w:val="24"/>
          <w:szCs w:val="24"/>
          <w:lang w:eastAsia="es-CO"/>
        </w:rPr>
      </w:pPr>
      <w:r w:rsidRPr="00A449EA">
        <w:rPr>
          <w:rFonts w:ascii="Century Gothic" w:eastAsia="Times New Roman" w:hAnsi="Century Gothic" w:cs="Times New Roman"/>
          <w:color w:val="222222"/>
          <w:sz w:val="24"/>
          <w:szCs w:val="24"/>
          <w:lang w:eastAsia="es-CO"/>
        </w:rPr>
        <w:t>Todo lo anterior se visualiza mejor en el siguiente cuadro:</w:t>
      </w:r>
    </w:p>
    <w:p w:rsidR="00A449EA" w:rsidRDefault="00A449EA" w:rsidP="00A449EA">
      <w:pPr>
        <w:shd w:val="clear" w:color="auto" w:fill="FFFFFF"/>
        <w:spacing w:after="0" w:line="240" w:lineRule="auto"/>
        <w:jc w:val="both"/>
        <w:rPr>
          <w:rFonts w:ascii="Century Gothic" w:eastAsia="Times New Roman" w:hAnsi="Century Gothic" w:cs="Times New Roman"/>
          <w:color w:val="222222"/>
          <w:sz w:val="24"/>
          <w:szCs w:val="24"/>
          <w:lang w:eastAsia="es-CO"/>
        </w:rPr>
      </w:pPr>
      <w:bookmarkStart w:id="0" w:name="_GoBack"/>
      <w:bookmarkEnd w:id="0"/>
    </w:p>
    <w:p w:rsidR="00A449EA" w:rsidRPr="00A449EA" w:rsidRDefault="00A449EA" w:rsidP="00A449EA">
      <w:pPr>
        <w:shd w:val="clear" w:color="auto" w:fill="FFFFFF"/>
        <w:spacing w:after="0" w:line="240" w:lineRule="auto"/>
        <w:jc w:val="both"/>
        <w:rPr>
          <w:rFonts w:ascii="Times New Roman" w:eastAsia="Times New Roman" w:hAnsi="Times New Roman" w:cs="Times New Roman"/>
          <w:color w:val="222222"/>
          <w:sz w:val="24"/>
          <w:szCs w:val="24"/>
          <w:lang w:eastAsia="es-CO"/>
        </w:rPr>
      </w:pPr>
    </w:p>
    <w:tbl>
      <w:tblPr>
        <w:tblW w:w="8186" w:type="dxa"/>
        <w:jc w:val="center"/>
        <w:tblInd w:w="55" w:type="dxa"/>
        <w:tblCellMar>
          <w:left w:w="0" w:type="dxa"/>
          <w:right w:w="0" w:type="dxa"/>
        </w:tblCellMar>
        <w:tblLook w:val="04A0" w:firstRow="1" w:lastRow="0" w:firstColumn="1" w:lastColumn="0" w:noHBand="0" w:noVBand="1"/>
      </w:tblPr>
      <w:tblGrid>
        <w:gridCol w:w="2658"/>
        <w:gridCol w:w="1134"/>
        <w:gridCol w:w="1093"/>
        <w:gridCol w:w="1515"/>
        <w:gridCol w:w="1786"/>
      </w:tblGrid>
      <w:tr w:rsidR="00A449EA" w:rsidRPr="00A449EA" w:rsidTr="00A449EA">
        <w:trPr>
          <w:jc w:val="center"/>
        </w:trPr>
        <w:tc>
          <w:tcPr>
            <w:tcW w:w="2658" w:type="dxa"/>
            <w:tcBorders>
              <w:top w:val="single" w:sz="8" w:space="0" w:color="auto"/>
              <w:left w:val="single" w:sz="8" w:space="0" w:color="auto"/>
              <w:bottom w:val="single" w:sz="8" w:space="0" w:color="auto"/>
              <w:right w:val="single" w:sz="8" w:space="0" w:color="auto"/>
            </w:tcBorders>
            <w:shd w:val="clear" w:color="auto" w:fill="B6DDE8"/>
            <w:tcMar>
              <w:top w:w="0" w:type="dxa"/>
              <w:left w:w="70" w:type="dxa"/>
              <w:bottom w:w="0" w:type="dxa"/>
              <w:right w:w="70" w:type="dxa"/>
            </w:tcMar>
            <w:vAlign w:val="center"/>
            <w:hideMark/>
          </w:tcPr>
          <w:p w:rsidR="00A449EA" w:rsidRPr="00A449EA" w:rsidRDefault="00A449EA" w:rsidP="00A449EA">
            <w:pPr>
              <w:spacing w:after="0" w:line="240" w:lineRule="auto"/>
              <w:jc w:val="center"/>
              <w:rPr>
                <w:rFonts w:ascii="Times New Roman" w:eastAsia="Times New Roman" w:hAnsi="Times New Roman" w:cs="Times New Roman"/>
                <w:sz w:val="24"/>
                <w:szCs w:val="24"/>
                <w:lang w:eastAsia="es-CO"/>
              </w:rPr>
            </w:pPr>
            <w:r w:rsidRPr="00A449EA">
              <w:rPr>
                <w:rFonts w:ascii="Century Gothic" w:eastAsia="Times New Roman" w:hAnsi="Century Gothic" w:cs="Times New Roman"/>
                <w:b/>
                <w:bCs/>
                <w:sz w:val="18"/>
                <w:szCs w:val="18"/>
                <w:lang w:val="es-MX" w:eastAsia="es-CO"/>
              </w:rPr>
              <w:t>Períodos, según participación de los despachos judiciales en el paro judicial</w:t>
            </w:r>
          </w:p>
        </w:tc>
        <w:tc>
          <w:tcPr>
            <w:tcW w:w="1134" w:type="dxa"/>
            <w:tcBorders>
              <w:top w:val="single" w:sz="8" w:space="0" w:color="auto"/>
              <w:left w:val="nil"/>
              <w:bottom w:val="single" w:sz="8" w:space="0" w:color="auto"/>
              <w:right w:val="single" w:sz="8" w:space="0" w:color="auto"/>
            </w:tcBorders>
            <w:shd w:val="clear" w:color="auto" w:fill="B6DDE8"/>
            <w:tcMar>
              <w:top w:w="0" w:type="dxa"/>
              <w:left w:w="70" w:type="dxa"/>
              <w:bottom w:w="0" w:type="dxa"/>
              <w:right w:w="70" w:type="dxa"/>
            </w:tcMar>
            <w:vAlign w:val="center"/>
            <w:hideMark/>
          </w:tcPr>
          <w:p w:rsidR="00A449EA" w:rsidRPr="00A449EA" w:rsidRDefault="00A449EA" w:rsidP="00A449EA">
            <w:pPr>
              <w:spacing w:after="0" w:line="240" w:lineRule="auto"/>
              <w:jc w:val="center"/>
              <w:rPr>
                <w:rFonts w:ascii="Times New Roman" w:eastAsia="Times New Roman" w:hAnsi="Times New Roman" w:cs="Times New Roman"/>
                <w:sz w:val="24"/>
                <w:szCs w:val="24"/>
                <w:lang w:eastAsia="es-CO"/>
              </w:rPr>
            </w:pPr>
            <w:r w:rsidRPr="00A449EA">
              <w:rPr>
                <w:rFonts w:ascii="Century Gothic" w:eastAsia="Times New Roman" w:hAnsi="Century Gothic" w:cs="Times New Roman"/>
                <w:b/>
                <w:bCs/>
                <w:sz w:val="18"/>
                <w:szCs w:val="18"/>
                <w:lang w:val="es-MX" w:eastAsia="es-CO"/>
              </w:rPr>
              <w:t>Porcentaje de Despachos en paro</w:t>
            </w:r>
          </w:p>
        </w:tc>
        <w:tc>
          <w:tcPr>
            <w:tcW w:w="1093" w:type="dxa"/>
            <w:tcBorders>
              <w:top w:val="single" w:sz="8" w:space="0" w:color="auto"/>
              <w:left w:val="nil"/>
              <w:bottom w:val="single" w:sz="8" w:space="0" w:color="auto"/>
              <w:right w:val="single" w:sz="8" w:space="0" w:color="auto"/>
            </w:tcBorders>
            <w:shd w:val="clear" w:color="auto" w:fill="B6DDE8"/>
            <w:tcMar>
              <w:top w:w="0" w:type="dxa"/>
              <w:left w:w="70" w:type="dxa"/>
              <w:bottom w:w="0" w:type="dxa"/>
              <w:right w:w="70" w:type="dxa"/>
            </w:tcMar>
            <w:vAlign w:val="center"/>
            <w:hideMark/>
          </w:tcPr>
          <w:p w:rsidR="00A449EA" w:rsidRPr="00A449EA" w:rsidRDefault="00A449EA" w:rsidP="00A449EA">
            <w:pPr>
              <w:spacing w:after="0" w:line="240" w:lineRule="auto"/>
              <w:jc w:val="center"/>
              <w:rPr>
                <w:rFonts w:ascii="Times New Roman" w:eastAsia="Times New Roman" w:hAnsi="Times New Roman" w:cs="Times New Roman"/>
                <w:sz w:val="24"/>
                <w:szCs w:val="24"/>
                <w:lang w:eastAsia="es-CO"/>
              </w:rPr>
            </w:pPr>
            <w:r w:rsidRPr="00A449EA">
              <w:rPr>
                <w:rFonts w:ascii="Century Gothic" w:eastAsia="Times New Roman" w:hAnsi="Century Gothic" w:cs="Times New Roman"/>
                <w:b/>
                <w:bCs/>
                <w:sz w:val="18"/>
                <w:szCs w:val="18"/>
                <w:lang w:eastAsia="es-CO"/>
              </w:rPr>
              <w:t>Días Hábiles</w:t>
            </w:r>
          </w:p>
        </w:tc>
        <w:tc>
          <w:tcPr>
            <w:tcW w:w="1515" w:type="dxa"/>
            <w:tcBorders>
              <w:top w:val="single" w:sz="8" w:space="0" w:color="auto"/>
              <w:left w:val="nil"/>
              <w:bottom w:val="single" w:sz="8" w:space="0" w:color="auto"/>
              <w:right w:val="single" w:sz="8" w:space="0" w:color="auto"/>
            </w:tcBorders>
            <w:shd w:val="clear" w:color="auto" w:fill="B6DDE8"/>
            <w:tcMar>
              <w:top w:w="0" w:type="dxa"/>
              <w:left w:w="70" w:type="dxa"/>
              <w:bottom w:w="0" w:type="dxa"/>
              <w:right w:w="70" w:type="dxa"/>
            </w:tcMar>
            <w:vAlign w:val="center"/>
            <w:hideMark/>
          </w:tcPr>
          <w:p w:rsidR="00A449EA" w:rsidRPr="00A449EA" w:rsidRDefault="00A449EA" w:rsidP="00A449EA">
            <w:pPr>
              <w:spacing w:after="0" w:line="240" w:lineRule="auto"/>
              <w:jc w:val="center"/>
              <w:rPr>
                <w:rFonts w:ascii="Times New Roman" w:eastAsia="Times New Roman" w:hAnsi="Times New Roman" w:cs="Times New Roman"/>
                <w:sz w:val="24"/>
                <w:szCs w:val="24"/>
                <w:lang w:eastAsia="es-CO"/>
              </w:rPr>
            </w:pPr>
            <w:r w:rsidRPr="00A449EA">
              <w:rPr>
                <w:rFonts w:ascii="Century Gothic" w:eastAsia="Times New Roman" w:hAnsi="Century Gothic" w:cs="Times New Roman"/>
                <w:b/>
                <w:bCs/>
                <w:sz w:val="18"/>
                <w:szCs w:val="18"/>
                <w:lang w:val="es-ES" w:eastAsia="es-CO"/>
              </w:rPr>
              <w:t>Costo Por Día Hábil</w:t>
            </w:r>
          </w:p>
        </w:tc>
        <w:tc>
          <w:tcPr>
            <w:tcW w:w="1786" w:type="dxa"/>
            <w:tcBorders>
              <w:top w:val="single" w:sz="8" w:space="0" w:color="auto"/>
              <w:left w:val="nil"/>
              <w:bottom w:val="single" w:sz="8" w:space="0" w:color="auto"/>
              <w:right w:val="single" w:sz="8" w:space="0" w:color="auto"/>
            </w:tcBorders>
            <w:shd w:val="clear" w:color="auto" w:fill="B6DDE8"/>
            <w:tcMar>
              <w:top w:w="0" w:type="dxa"/>
              <w:left w:w="70" w:type="dxa"/>
              <w:bottom w:w="0" w:type="dxa"/>
              <w:right w:w="70" w:type="dxa"/>
            </w:tcMar>
            <w:vAlign w:val="center"/>
            <w:hideMark/>
          </w:tcPr>
          <w:p w:rsidR="00A449EA" w:rsidRPr="00A449EA" w:rsidRDefault="00A449EA" w:rsidP="00A449EA">
            <w:pPr>
              <w:spacing w:after="0" w:line="240" w:lineRule="auto"/>
              <w:jc w:val="center"/>
              <w:rPr>
                <w:rFonts w:ascii="Times New Roman" w:eastAsia="Times New Roman" w:hAnsi="Times New Roman" w:cs="Times New Roman"/>
                <w:sz w:val="24"/>
                <w:szCs w:val="24"/>
                <w:lang w:eastAsia="es-CO"/>
              </w:rPr>
            </w:pPr>
            <w:r w:rsidRPr="00A449EA">
              <w:rPr>
                <w:rFonts w:ascii="Century Gothic" w:eastAsia="Times New Roman" w:hAnsi="Century Gothic" w:cs="Times New Roman"/>
                <w:b/>
                <w:bCs/>
                <w:sz w:val="18"/>
                <w:szCs w:val="18"/>
                <w:lang w:eastAsia="es-CO"/>
              </w:rPr>
              <w:t>Costo por periodo</w:t>
            </w:r>
          </w:p>
        </w:tc>
      </w:tr>
      <w:tr w:rsidR="00A449EA" w:rsidRPr="00A449EA" w:rsidTr="00A449EA">
        <w:trPr>
          <w:jc w:val="center"/>
        </w:trPr>
        <w:tc>
          <w:tcPr>
            <w:tcW w:w="265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449EA" w:rsidRPr="00A449EA" w:rsidRDefault="00A449EA" w:rsidP="00A449EA">
            <w:pPr>
              <w:spacing w:after="0" w:line="240" w:lineRule="auto"/>
              <w:jc w:val="center"/>
              <w:rPr>
                <w:rFonts w:ascii="Times New Roman" w:eastAsia="Times New Roman" w:hAnsi="Times New Roman" w:cs="Times New Roman"/>
                <w:sz w:val="24"/>
                <w:szCs w:val="24"/>
                <w:lang w:eastAsia="es-CO"/>
              </w:rPr>
            </w:pPr>
            <w:r w:rsidRPr="00A449EA">
              <w:rPr>
                <w:rFonts w:ascii="Century Gothic" w:eastAsia="Times New Roman" w:hAnsi="Century Gothic" w:cs="Times New Roman"/>
                <w:sz w:val="18"/>
                <w:szCs w:val="18"/>
                <w:lang w:val="es-MX" w:eastAsia="es-CO"/>
              </w:rPr>
              <w:t>11 de octubre -13 de noviembre</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A449EA" w:rsidRPr="00A449EA" w:rsidRDefault="00A449EA" w:rsidP="00A449EA">
            <w:pPr>
              <w:spacing w:after="0" w:line="240" w:lineRule="auto"/>
              <w:jc w:val="center"/>
              <w:rPr>
                <w:rFonts w:ascii="Times New Roman" w:eastAsia="Times New Roman" w:hAnsi="Times New Roman" w:cs="Times New Roman"/>
                <w:sz w:val="24"/>
                <w:szCs w:val="24"/>
                <w:lang w:eastAsia="es-CO"/>
              </w:rPr>
            </w:pPr>
            <w:r w:rsidRPr="00A449EA">
              <w:rPr>
                <w:rFonts w:ascii="Century Gothic" w:eastAsia="Times New Roman" w:hAnsi="Century Gothic" w:cs="Times New Roman"/>
                <w:sz w:val="18"/>
                <w:szCs w:val="18"/>
                <w:lang w:val="es-MX" w:eastAsia="es-CO"/>
              </w:rPr>
              <w:t>98%</w:t>
            </w:r>
          </w:p>
        </w:tc>
        <w:tc>
          <w:tcPr>
            <w:tcW w:w="1093" w:type="dxa"/>
            <w:tcBorders>
              <w:top w:val="nil"/>
              <w:left w:val="nil"/>
              <w:bottom w:val="single" w:sz="8" w:space="0" w:color="auto"/>
              <w:right w:val="single" w:sz="8" w:space="0" w:color="auto"/>
            </w:tcBorders>
            <w:tcMar>
              <w:top w:w="0" w:type="dxa"/>
              <w:left w:w="70" w:type="dxa"/>
              <w:bottom w:w="0" w:type="dxa"/>
              <w:right w:w="70" w:type="dxa"/>
            </w:tcMar>
            <w:hideMark/>
          </w:tcPr>
          <w:p w:rsidR="00A449EA" w:rsidRPr="00A449EA" w:rsidRDefault="00A449EA" w:rsidP="00A449EA">
            <w:pPr>
              <w:spacing w:after="0" w:line="240" w:lineRule="auto"/>
              <w:jc w:val="center"/>
              <w:rPr>
                <w:rFonts w:ascii="Times New Roman" w:eastAsia="Times New Roman" w:hAnsi="Times New Roman" w:cs="Times New Roman"/>
                <w:sz w:val="24"/>
                <w:szCs w:val="24"/>
                <w:lang w:eastAsia="es-CO"/>
              </w:rPr>
            </w:pPr>
            <w:r w:rsidRPr="00A449EA">
              <w:rPr>
                <w:rFonts w:ascii="Century Gothic" w:eastAsia="Times New Roman" w:hAnsi="Century Gothic" w:cs="Times New Roman"/>
                <w:sz w:val="18"/>
                <w:szCs w:val="18"/>
                <w:lang w:eastAsia="es-CO"/>
              </w:rPr>
              <w:t>23</w:t>
            </w:r>
          </w:p>
        </w:tc>
        <w:tc>
          <w:tcPr>
            <w:tcW w:w="1515" w:type="dxa"/>
            <w:tcBorders>
              <w:top w:val="nil"/>
              <w:left w:val="nil"/>
              <w:bottom w:val="single" w:sz="8" w:space="0" w:color="auto"/>
              <w:right w:val="single" w:sz="8" w:space="0" w:color="auto"/>
            </w:tcBorders>
            <w:tcMar>
              <w:top w:w="0" w:type="dxa"/>
              <w:left w:w="70" w:type="dxa"/>
              <w:bottom w:w="0" w:type="dxa"/>
              <w:right w:w="70" w:type="dxa"/>
            </w:tcMar>
            <w:hideMark/>
          </w:tcPr>
          <w:p w:rsidR="00A449EA" w:rsidRPr="00A449EA" w:rsidRDefault="00A449EA" w:rsidP="00A449EA">
            <w:pPr>
              <w:spacing w:after="0" w:line="240" w:lineRule="auto"/>
              <w:jc w:val="right"/>
              <w:rPr>
                <w:rFonts w:ascii="Times New Roman" w:eastAsia="Times New Roman" w:hAnsi="Times New Roman" w:cs="Times New Roman"/>
                <w:sz w:val="24"/>
                <w:szCs w:val="24"/>
                <w:lang w:eastAsia="es-CO"/>
              </w:rPr>
            </w:pPr>
            <w:r w:rsidRPr="00A449EA">
              <w:rPr>
                <w:rFonts w:ascii="Century Gothic" w:eastAsia="Times New Roman" w:hAnsi="Century Gothic" w:cs="Times New Roman"/>
                <w:sz w:val="18"/>
                <w:szCs w:val="18"/>
                <w:lang w:val="es-ES" w:eastAsia="es-CO"/>
              </w:rPr>
              <w:t>$ </w:t>
            </w:r>
            <w:hyperlink r:id="rId5" w:tgtFrame="_blank" w:history="1">
              <w:r w:rsidRPr="00A449EA">
                <w:rPr>
                  <w:rFonts w:ascii="Century Gothic" w:eastAsia="Times New Roman" w:hAnsi="Century Gothic" w:cs="Times New Roman"/>
                  <w:color w:val="1155CC"/>
                  <w:sz w:val="18"/>
                  <w:szCs w:val="18"/>
                  <w:u w:val="single"/>
                  <w:lang w:val="es-ES" w:eastAsia="es-CO"/>
                </w:rPr>
                <w:t>2.188.732.627</w:t>
              </w:r>
            </w:hyperlink>
          </w:p>
        </w:tc>
        <w:tc>
          <w:tcPr>
            <w:tcW w:w="1786" w:type="dxa"/>
            <w:tcBorders>
              <w:top w:val="nil"/>
              <w:left w:val="nil"/>
              <w:bottom w:val="single" w:sz="8" w:space="0" w:color="auto"/>
              <w:right w:val="single" w:sz="8" w:space="0" w:color="auto"/>
            </w:tcBorders>
            <w:tcMar>
              <w:top w:w="0" w:type="dxa"/>
              <w:left w:w="70" w:type="dxa"/>
              <w:bottom w:w="0" w:type="dxa"/>
              <w:right w:w="70" w:type="dxa"/>
            </w:tcMar>
            <w:hideMark/>
          </w:tcPr>
          <w:p w:rsidR="00A449EA" w:rsidRPr="00A449EA" w:rsidRDefault="00A449EA" w:rsidP="00A449EA">
            <w:pPr>
              <w:spacing w:after="0" w:line="240" w:lineRule="auto"/>
              <w:jc w:val="right"/>
              <w:rPr>
                <w:rFonts w:ascii="Times New Roman" w:eastAsia="Times New Roman" w:hAnsi="Times New Roman" w:cs="Times New Roman"/>
                <w:sz w:val="24"/>
                <w:szCs w:val="24"/>
                <w:lang w:eastAsia="es-CO"/>
              </w:rPr>
            </w:pPr>
            <w:r w:rsidRPr="00A449EA">
              <w:rPr>
                <w:rFonts w:ascii="Century Gothic" w:eastAsia="Times New Roman" w:hAnsi="Century Gothic" w:cs="Times New Roman"/>
                <w:sz w:val="18"/>
                <w:szCs w:val="18"/>
                <w:lang w:val="es-ES" w:eastAsia="es-CO"/>
              </w:rPr>
              <w:t>$ 50.340.836.000</w:t>
            </w:r>
          </w:p>
        </w:tc>
      </w:tr>
      <w:tr w:rsidR="00A449EA" w:rsidRPr="00A449EA" w:rsidTr="00A449EA">
        <w:trPr>
          <w:jc w:val="center"/>
        </w:trPr>
        <w:tc>
          <w:tcPr>
            <w:tcW w:w="265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449EA" w:rsidRPr="00A449EA" w:rsidRDefault="00A449EA" w:rsidP="00A449EA">
            <w:pPr>
              <w:spacing w:after="0" w:line="240" w:lineRule="auto"/>
              <w:jc w:val="center"/>
              <w:rPr>
                <w:rFonts w:ascii="Times New Roman" w:eastAsia="Times New Roman" w:hAnsi="Times New Roman" w:cs="Times New Roman"/>
                <w:sz w:val="24"/>
                <w:szCs w:val="24"/>
                <w:lang w:eastAsia="es-CO"/>
              </w:rPr>
            </w:pPr>
            <w:r w:rsidRPr="00A449EA">
              <w:rPr>
                <w:rFonts w:ascii="Century Gothic" w:eastAsia="Times New Roman" w:hAnsi="Century Gothic" w:cs="Times New Roman"/>
                <w:sz w:val="18"/>
                <w:szCs w:val="18"/>
                <w:lang w:val="es-MX" w:eastAsia="es-CO"/>
              </w:rPr>
              <w:t>14  - 29 de noviembre</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A449EA" w:rsidRPr="00A449EA" w:rsidRDefault="00A449EA" w:rsidP="00A449EA">
            <w:pPr>
              <w:spacing w:after="0" w:line="240" w:lineRule="auto"/>
              <w:jc w:val="center"/>
              <w:rPr>
                <w:rFonts w:ascii="Times New Roman" w:eastAsia="Times New Roman" w:hAnsi="Times New Roman" w:cs="Times New Roman"/>
                <w:sz w:val="24"/>
                <w:szCs w:val="24"/>
                <w:lang w:eastAsia="es-CO"/>
              </w:rPr>
            </w:pPr>
            <w:r w:rsidRPr="00A449EA">
              <w:rPr>
                <w:rFonts w:ascii="Century Gothic" w:eastAsia="Times New Roman" w:hAnsi="Century Gothic" w:cs="Times New Roman"/>
                <w:sz w:val="18"/>
                <w:szCs w:val="18"/>
                <w:lang w:val="es-MX" w:eastAsia="es-CO"/>
              </w:rPr>
              <w:t>49%</w:t>
            </w:r>
          </w:p>
        </w:tc>
        <w:tc>
          <w:tcPr>
            <w:tcW w:w="1093" w:type="dxa"/>
            <w:tcBorders>
              <w:top w:val="nil"/>
              <w:left w:val="nil"/>
              <w:bottom w:val="single" w:sz="8" w:space="0" w:color="auto"/>
              <w:right w:val="single" w:sz="8" w:space="0" w:color="auto"/>
            </w:tcBorders>
            <w:tcMar>
              <w:top w:w="0" w:type="dxa"/>
              <w:left w:w="70" w:type="dxa"/>
              <w:bottom w:w="0" w:type="dxa"/>
              <w:right w:w="70" w:type="dxa"/>
            </w:tcMar>
            <w:hideMark/>
          </w:tcPr>
          <w:p w:rsidR="00A449EA" w:rsidRPr="00A449EA" w:rsidRDefault="00A449EA" w:rsidP="00A449EA">
            <w:pPr>
              <w:spacing w:after="0" w:line="240" w:lineRule="auto"/>
              <w:jc w:val="center"/>
              <w:rPr>
                <w:rFonts w:ascii="Times New Roman" w:eastAsia="Times New Roman" w:hAnsi="Times New Roman" w:cs="Times New Roman"/>
                <w:sz w:val="24"/>
                <w:szCs w:val="24"/>
                <w:lang w:eastAsia="es-CO"/>
              </w:rPr>
            </w:pPr>
            <w:r w:rsidRPr="00A449EA">
              <w:rPr>
                <w:rFonts w:ascii="Century Gothic" w:eastAsia="Times New Roman" w:hAnsi="Century Gothic" w:cs="Times New Roman"/>
                <w:sz w:val="18"/>
                <w:szCs w:val="18"/>
                <w:lang w:eastAsia="es-CO"/>
              </w:rPr>
              <w:t>12</w:t>
            </w:r>
          </w:p>
        </w:tc>
        <w:tc>
          <w:tcPr>
            <w:tcW w:w="1515" w:type="dxa"/>
            <w:tcBorders>
              <w:top w:val="nil"/>
              <w:left w:val="nil"/>
              <w:bottom w:val="single" w:sz="8" w:space="0" w:color="auto"/>
              <w:right w:val="single" w:sz="8" w:space="0" w:color="auto"/>
            </w:tcBorders>
            <w:tcMar>
              <w:top w:w="0" w:type="dxa"/>
              <w:left w:w="70" w:type="dxa"/>
              <w:bottom w:w="0" w:type="dxa"/>
              <w:right w:w="70" w:type="dxa"/>
            </w:tcMar>
            <w:hideMark/>
          </w:tcPr>
          <w:p w:rsidR="00A449EA" w:rsidRPr="00A449EA" w:rsidRDefault="00A449EA" w:rsidP="00A449EA">
            <w:pPr>
              <w:spacing w:after="0" w:line="240" w:lineRule="auto"/>
              <w:jc w:val="right"/>
              <w:rPr>
                <w:rFonts w:ascii="Times New Roman" w:eastAsia="Times New Roman" w:hAnsi="Times New Roman" w:cs="Times New Roman"/>
                <w:sz w:val="24"/>
                <w:szCs w:val="24"/>
                <w:lang w:eastAsia="es-CO"/>
              </w:rPr>
            </w:pPr>
            <w:r w:rsidRPr="00A449EA">
              <w:rPr>
                <w:rFonts w:ascii="Century Gothic" w:eastAsia="Times New Roman" w:hAnsi="Century Gothic" w:cs="Times New Roman"/>
                <w:sz w:val="18"/>
                <w:szCs w:val="18"/>
                <w:lang w:val="es-ES" w:eastAsia="es-CO"/>
              </w:rPr>
              <w:t>$ 1.049.366.000</w:t>
            </w:r>
          </w:p>
        </w:tc>
        <w:tc>
          <w:tcPr>
            <w:tcW w:w="1786" w:type="dxa"/>
            <w:tcBorders>
              <w:top w:val="nil"/>
              <w:left w:val="nil"/>
              <w:bottom w:val="single" w:sz="8" w:space="0" w:color="auto"/>
              <w:right w:val="single" w:sz="8" w:space="0" w:color="auto"/>
            </w:tcBorders>
            <w:tcMar>
              <w:top w:w="0" w:type="dxa"/>
              <w:left w:w="70" w:type="dxa"/>
              <w:bottom w:w="0" w:type="dxa"/>
              <w:right w:w="70" w:type="dxa"/>
            </w:tcMar>
            <w:hideMark/>
          </w:tcPr>
          <w:p w:rsidR="00A449EA" w:rsidRPr="00A449EA" w:rsidRDefault="00A449EA" w:rsidP="00A449EA">
            <w:pPr>
              <w:spacing w:after="0" w:line="240" w:lineRule="auto"/>
              <w:jc w:val="right"/>
              <w:rPr>
                <w:rFonts w:ascii="Times New Roman" w:eastAsia="Times New Roman" w:hAnsi="Times New Roman" w:cs="Times New Roman"/>
                <w:sz w:val="24"/>
                <w:szCs w:val="24"/>
                <w:lang w:eastAsia="es-CO"/>
              </w:rPr>
            </w:pPr>
            <w:r w:rsidRPr="00A449EA">
              <w:rPr>
                <w:rFonts w:ascii="Century Gothic" w:eastAsia="Times New Roman" w:hAnsi="Century Gothic" w:cs="Times New Roman"/>
                <w:sz w:val="18"/>
                <w:szCs w:val="18"/>
                <w:lang w:val="es-ES" w:eastAsia="es-CO"/>
              </w:rPr>
              <w:t>$ 12.592.392.000</w:t>
            </w:r>
          </w:p>
        </w:tc>
      </w:tr>
      <w:tr w:rsidR="00A449EA" w:rsidRPr="00A449EA" w:rsidTr="00A449EA">
        <w:trPr>
          <w:jc w:val="center"/>
        </w:trPr>
        <w:tc>
          <w:tcPr>
            <w:tcW w:w="265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449EA" w:rsidRPr="00A449EA" w:rsidRDefault="00A449EA" w:rsidP="00A449EA">
            <w:pPr>
              <w:spacing w:after="0" w:line="240" w:lineRule="auto"/>
              <w:jc w:val="center"/>
              <w:rPr>
                <w:rFonts w:ascii="Times New Roman" w:eastAsia="Times New Roman" w:hAnsi="Times New Roman" w:cs="Times New Roman"/>
                <w:sz w:val="24"/>
                <w:szCs w:val="24"/>
                <w:lang w:eastAsia="es-CO"/>
              </w:rPr>
            </w:pPr>
            <w:r w:rsidRPr="00A449EA">
              <w:rPr>
                <w:rFonts w:ascii="Century Gothic" w:eastAsia="Times New Roman" w:hAnsi="Century Gothic" w:cs="Times New Roman"/>
                <w:sz w:val="18"/>
                <w:szCs w:val="18"/>
                <w:lang w:val="es-MX" w:eastAsia="es-CO"/>
              </w:rPr>
              <w:t>30 Noviembre – 10 de diciembre</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A449EA" w:rsidRPr="00A449EA" w:rsidRDefault="00A449EA" w:rsidP="00A449EA">
            <w:pPr>
              <w:spacing w:after="0" w:line="240" w:lineRule="auto"/>
              <w:jc w:val="center"/>
              <w:rPr>
                <w:rFonts w:ascii="Times New Roman" w:eastAsia="Times New Roman" w:hAnsi="Times New Roman" w:cs="Times New Roman"/>
                <w:sz w:val="24"/>
                <w:szCs w:val="24"/>
                <w:lang w:eastAsia="es-CO"/>
              </w:rPr>
            </w:pPr>
            <w:r w:rsidRPr="00A449EA">
              <w:rPr>
                <w:rFonts w:ascii="Century Gothic" w:eastAsia="Times New Roman" w:hAnsi="Century Gothic" w:cs="Times New Roman"/>
                <w:sz w:val="18"/>
                <w:szCs w:val="18"/>
                <w:lang w:val="es-MX" w:eastAsia="es-CO"/>
              </w:rPr>
              <w:t>14%</w:t>
            </w:r>
          </w:p>
        </w:tc>
        <w:tc>
          <w:tcPr>
            <w:tcW w:w="1093" w:type="dxa"/>
            <w:tcBorders>
              <w:top w:val="nil"/>
              <w:left w:val="nil"/>
              <w:bottom w:val="single" w:sz="8" w:space="0" w:color="auto"/>
              <w:right w:val="single" w:sz="8" w:space="0" w:color="auto"/>
            </w:tcBorders>
            <w:tcMar>
              <w:top w:w="0" w:type="dxa"/>
              <w:left w:w="70" w:type="dxa"/>
              <w:bottom w:w="0" w:type="dxa"/>
              <w:right w:w="70" w:type="dxa"/>
            </w:tcMar>
            <w:hideMark/>
          </w:tcPr>
          <w:p w:rsidR="00A449EA" w:rsidRPr="00A449EA" w:rsidRDefault="00A449EA" w:rsidP="00A449EA">
            <w:pPr>
              <w:spacing w:after="0" w:line="240" w:lineRule="auto"/>
              <w:jc w:val="center"/>
              <w:rPr>
                <w:rFonts w:ascii="Times New Roman" w:eastAsia="Times New Roman" w:hAnsi="Times New Roman" w:cs="Times New Roman"/>
                <w:sz w:val="24"/>
                <w:szCs w:val="24"/>
                <w:lang w:eastAsia="es-CO"/>
              </w:rPr>
            </w:pPr>
            <w:r w:rsidRPr="00A449EA">
              <w:rPr>
                <w:rFonts w:ascii="Century Gothic" w:eastAsia="Times New Roman" w:hAnsi="Century Gothic" w:cs="Times New Roman"/>
                <w:sz w:val="18"/>
                <w:szCs w:val="18"/>
                <w:lang w:eastAsia="es-CO"/>
              </w:rPr>
              <w:t>7</w:t>
            </w:r>
          </w:p>
        </w:tc>
        <w:tc>
          <w:tcPr>
            <w:tcW w:w="1515" w:type="dxa"/>
            <w:tcBorders>
              <w:top w:val="nil"/>
              <w:left w:val="nil"/>
              <w:bottom w:val="single" w:sz="8" w:space="0" w:color="auto"/>
              <w:right w:val="single" w:sz="8" w:space="0" w:color="auto"/>
            </w:tcBorders>
            <w:tcMar>
              <w:top w:w="0" w:type="dxa"/>
              <w:left w:w="70" w:type="dxa"/>
              <w:bottom w:w="0" w:type="dxa"/>
              <w:right w:w="70" w:type="dxa"/>
            </w:tcMar>
            <w:hideMark/>
          </w:tcPr>
          <w:p w:rsidR="00A449EA" w:rsidRPr="00A449EA" w:rsidRDefault="00A449EA" w:rsidP="00A449EA">
            <w:pPr>
              <w:spacing w:after="0" w:line="240" w:lineRule="auto"/>
              <w:jc w:val="right"/>
              <w:rPr>
                <w:rFonts w:ascii="Times New Roman" w:eastAsia="Times New Roman" w:hAnsi="Times New Roman" w:cs="Times New Roman"/>
                <w:sz w:val="24"/>
                <w:szCs w:val="24"/>
                <w:lang w:eastAsia="es-CO"/>
              </w:rPr>
            </w:pPr>
            <w:r w:rsidRPr="00A449EA">
              <w:rPr>
                <w:rFonts w:ascii="Century Gothic" w:eastAsia="Times New Roman" w:hAnsi="Century Gothic" w:cs="Times New Roman"/>
                <w:sz w:val="18"/>
                <w:szCs w:val="18"/>
                <w:lang w:val="es-ES" w:eastAsia="es-CO"/>
              </w:rPr>
              <w:t>$ 312.676.000</w:t>
            </w:r>
          </w:p>
        </w:tc>
        <w:tc>
          <w:tcPr>
            <w:tcW w:w="1786" w:type="dxa"/>
            <w:tcBorders>
              <w:top w:val="nil"/>
              <w:left w:val="nil"/>
              <w:bottom w:val="single" w:sz="8" w:space="0" w:color="auto"/>
              <w:right w:val="single" w:sz="8" w:space="0" w:color="auto"/>
            </w:tcBorders>
            <w:tcMar>
              <w:top w:w="0" w:type="dxa"/>
              <w:left w:w="70" w:type="dxa"/>
              <w:bottom w:w="0" w:type="dxa"/>
              <w:right w:w="70" w:type="dxa"/>
            </w:tcMar>
            <w:hideMark/>
          </w:tcPr>
          <w:p w:rsidR="00A449EA" w:rsidRPr="00A449EA" w:rsidRDefault="00A449EA" w:rsidP="00A449EA">
            <w:pPr>
              <w:spacing w:after="0" w:line="240" w:lineRule="auto"/>
              <w:jc w:val="right"/>
              <w:rPr>
                <w:rFonts w:ascii="Times New Roman" w:eastAsia="Times New Roman" w:hAnsi="Times New Roman" w:cs="Times New Roman"/>
                <w:sz w:val="24"/>
                <w:szCs w:val="24"/>
                <w:lang w:eastAsia="es-CO"/>
              </w:rPr>
            </w:pPr>
            <w:r w:rsidRPr="00A449EA">
              <w:rPr>
                <w:rFonts w:ascii="Century Gothic" w:eastAsia="Times New Roman" w:hAnsi="Century Gothic" w:cs="Times New Roman"/>
                <w:sz w:val="18"/>
                <w:szCs w:val="18"/>
                <w:lang w:val="es-ES" w:eastAsia="es-CO"/>
              </w:rPr>
              <w:t>$ </w:t>
            </w:r>
            <w:hyperlink r:id="rId6" w:tgtFrame="_blank" w:history="1">
              <w:r w:rsidRPr="00A449EA">
                <w:rPr>
                  <w:rFonts w:ascii="Century Gothic" w:eastAsia="Times New Roman" w:hAnsi="Century Gothic" w:cs="Times New Roman"/>
                  <w:color w:val="1155CC"/>
                  <w:sz w:val="18"/>
                  <w:szCs w:val="18"/>
                  <w:u w:val="single"/>
                  <w:lang w:val="es-ES" w:eastAsia="es-CO"/>
                </w:rPr>
                <w:t>2.188.732.000</w:t>
              </w:r>
            </w:hyperlink>
          </w:p>
        </w:tc>
      </w:tr>
      <w:tr w:rsidR="00A449EA" w:rsidRPr="00A449EA" w:rsidTr="00A449EA">
        <w:trPr>
          <w:jc w:val="center"/>
        </w:trPr>
        <w:tc>
          <w:tcPr>
            <w:tcW w:w="2658" w:type="dxa"/>
            <w:tcBorders>
              <w:top w:val="nil"/>
              <w:left w:val="single" w:sz="8" w:space="0" w:color="auto"/>
              <w:bottom w:val="single" w:sz="8" w:space="0" w:color="auto"/>
              <w:right w:val="single" w:sz="8" w:space="0" w:color="auto"/>
            </w:tcBorders>
            <w:shd w:val="clear" w:color="auto" w:fill="D8D8D8"/>
            <w:tcMar>
              <w:top w:w="0" w:type="dxa"/>
              <w:left w:w="70" w:type="dxa"/>
              <w:bottom w:w="0" w:type="dxa"/>
              <w:right w:w="70" w:type="dxa"/>
            </w:tcMar>
            <w:hideMark/>
          </w:tcPr>
          <w:p w:rsidR="00A449EA" w:rsidRPr="00A449EA" w:rsidRDefault="00A449EA" w:rsidP="00A449EA">
            <w:pPr>
              <w:spacing w:after="0" w:line="240" w:lineRule="auto"/>
              <w:jc w:val="center"/>
              <w:rPr>
                <w:rFonts w:ascii="Times New Roman" w:eastAsia="Times New Roman" w:hAnsi="Times New Roman" w:cs="Times New Roman"/>
                <w:sz w:val="24"/>
                <w:szCs w:val="24"/>
                <w:lang w:eastAsia="es-CO"/>
              </w:rPr>
            </w:pPr>
            <w:r w:rsidRPr="00A449EA">
              <w:rPr>
                <w:rFonts w:ascii="Century Gothic" w:eastAsia="Times New Roman" w:hAnsi="Century Gothic" w:cs="Times New Roman"/>
                <w:b/>
                <w:bCs/>
                <w:sz w:val="18"/>
                <w:szCs w:val="18"/>
                <w:lang w:eastAsia="es-CO"/>
              </w:rPr>
              <w:t>TOTAL </w:t>
            </w:r>
          </w:p>
        </w:tc>
        <w:tc>
          <w:tcPr>
            <w:tcW w:w="1134" w:type="dxa"/>
            <w:tcBorders>
              <w:top w:val="nil"/>
              <w:left w:val="nil"/>
              <w:bottom w:val="single" w:sz="8" w:space="0" w:color="auto"/>
              <w:right w:val="single" w:sz="8" w:space="0" w:color="auto"/>
            </w:tcBorders>
            <w:shd w:val="clear" w:color="auto" w:fill="D8D8D8"/>
            <w:tcMar>
              <w:top w:w="0" w:type="dxa"/>
              <w:left w:w="70" w:type="dxa"/>
              <w:bottom w:w="0" w:type="dxa"/>
              <w:right w:w="70" w:type="dxa"/>
            </w:tcMar>
            <w:hideMark/>
          </w:tcPr>
          <w:p w:rsidR="00A449EA" w:rsidRPr="00A449EA" w:rsidRDefault="00A449EA" w:rsidP="00A449EA">
            <w:pPr>
              <w:spacing w:after="0" w:line="240" w:lineRule="auto"/>
              <w:jc w:val="center"/>
              <w:rPr>
                <w:rFonts w:ascii="Times New Roman" w:eastAsia="Times New Roman" w:hAnsi="Times New Roman" w:cs="Times New Roman"/>
                <w:sz w:val="24"/>
                <w:szCs w:val="24"/>
                <w:lang w:eastAsia="es-CO"/>
              </w:rPr>
            </w:pPr>
            <w:r w:rsidRPr="00A449EA">
              <w:rPr>
                <w:rFonts w:ascii="Century Gothic" w:eastAsia="Times New Roman" w:hAnsi="Century Gothic" w:cs="Times New Roman"/>
                <w:b/>
                <w:bCs/>
                <w:sz w:val="18"/>
                <w:szCs w:val="18"/>
                <w:lang w:eastAsia="es-CO"/>
              </w:rPr>
              <w:t> </w:t>
            </w:r>
          </w:p>
        </w:tc>
        <w:tc>
          <w:tcPr>
            <w:tcW w:w="1093" w:type="dxa"/>
            <w:tcBorders>
              <w:top w:val="nil"/>
              <w:left w:val="nil"/>
              <w:bottom w:val="single" w:sz="8" w:space="0" w:color="auto"/>
              <w:right w:val="single" w:sz="8" w:space="0" w:color="auto"/>
            </w:tcBorders>
            <w:shd w:val="clear" w:color="auto" w:fill="D8D8D8"/>
            <w:tcMar>
              <w:top w:w="0" w:type="dxa"/>
              <w:left w:w="70" w:type="dxa"/>
              <w:bottom w:w="0" w:type="dxa"/>
              <w:right w:w="70" w:type="dxa"/>
            </w:tcMar>
            <w:hideMark/>
          </w:tcPr>
          <w:p w:rsidR="00A449EA" w:rsidRPr="00A449EA" w:rsidRDefault="00A449EA" w:rsidP="00A449EA">
            <w:pPr>
              <w:spacing w:after="0" w:line="240" w:lineRule="auto"/>
              <w:jc w:val="center"/>
              <w:rPr>
                <w:rFonts w:ascii="Times New Roman" w:eastAsia="Times New Roman" w:hAnsi="Times New Roman" w:cs="Times New Roman"/>
                <w:sz w:val="24"/>
                <w:szCs w:val="24"/>
                <w:lang w:eastAsia="es-CO"/>
              </w:rPr>
            </w:pPr>
            <w:r w:rsidRPr="00A449EA">
              <w:rPr>
                <w:rFonts w:ascii="Century Gothic" w:eastAsia="Times New Roman" w:hAnsi="Century Gothic" w:cs="Times New Roman"/>
                <w:b/>
                <w:bCs/>
                <w:sz w:val="18"/>
                <w:szCs w:val="18"/>
                <w:lang w:eastAsia="es-CO"/>
              </w:rPr>
              <w:t>42</w:t>
            </w:r>
          </w:p>
        </w:tc>
        <w:tc>
          <w:tcPr>
            <w:tcW w:w="1515" w:type="dxa"/>
            <w:tcBorders>
              <w:top w:val="nil"/>
              <w:left w:val="nil"/>
              <w:bottom w:val="single" w:sz="8" w:space="0" w:color="auto"/>
              <w:right w:val="single" w:sz="8" w:space="0" w:color="auto"/>
            </w:tcBorders>
            <w:shd w:val="clear" w:color="auto" w:fill="D8D8D8"/>
            <w:tcMar>
              <w:top w:w="0" w:type="dxa"/>
              <w:left w:w="70" w:type="dxa"/>
              <w:bottom w:w="0" w:type="dxa"/>
              <w:right w:w="70" w:type="dxa"/>
            </w:tcMar>
            <w:hideMark/>
          </w:tcPr>
          <w:p w:rsidR="00A449EA" w:rsidRPr="00A449EA" w:rsidRDefault="00A449EA" w:rsidP="00A449EA">
            <w:pPr>
              <w:spacing w:after="0" w:line="240" w:lineRule="auto"/>
              <w:jc w:val="center"/>
              <w:rPr>
                <w:rFonts w:ascii="Times New Roman" w:eastAsia="Times New Roman" w:hAnsi="Times New Roman" w:cs="Times New Roman"/>
                <w:sz w:val="24"/>
                <w:szCs w:val="24"/>
                <w:lang w:eastAsia="es-CO"/>
              </w:rPr>
            </w:pPr>
            <w:r w:rsidRPr="00A449EA">
              <w:rPr>
                <w:rFonts w:ascii="Century Gothic" w:eastAsia="Times New Roman" w:hAnsi="Century Gothic" w:cs="Times New Roman"/>
                <w:b/>
                <w:bCs/>
                <w:sz w:val="18"/>
                <w:szCs w:val="18"/>
                <w:lang w:val="es-ES" w:eastAsia="es-CO"/>
              </w:rPr>
              <w:t> </w:t>
            </w:r>
          </w:p>
        </w:tc>
        <w:tc>
          <w:tcPr>
            <w:tcW w:w="1786" w:type="dxa"/>
            <w:tcBorders>
              <w:top w:val="nil"/>
              <w:left w:val="nil"/>
              <w:bottom w:val="single" w:sz="8" w:space="0" w:color="auto"/>
              <w:right w:val="single" w:sz="8" w:space="0" w:color="auto"/>
            </w:tcBorders>
            <w:shd w:val="clear" w:color="auto" w:fill="D8D8D8"/>
            <w:tcMar>
              <w:top w:w="0" w:type="dxa"/>
              <w:left w:w="70" w:type="dxa"/>
              <w:bottom w:w="0" w:type="dxa"/>
              <w:right w:w="70" w:type="dxa"/>
            </w:tcMar>
            <w:hideMark/>
          </w:tcPr>
          <w:p w:rsidR="00A449EA" w:rsidRPr="00A449EA" w:rsidRDefault="00A449EA" w:rsidP="00A449EA">
            <w:pPr>
              <w:spacing w:after="0" w:line="240" w:lineRule="auto"/>
              <w:jc w:val="right"/>
              <w:rPr>
                <w:rFonts w:ascii="Times New Roman" w:eastAsia="Times New Roman" w:hAnsi="Times New Roman" w:cs="Times New Roman"/>
                <w:sz w:val="24"/>
                <w:szCs w:val="24"/>
                <w:lang w:eastAsia="es-CO"/>
              </w:rPr>
            </w:pPr>
            <w:r w:rsidRPr="00A449EA">
              <w:rPr>
                <w:rFonts w:ascii="Century Gothic" w:eastAsia="Times New Roman" w:hAnsi="Century Gothic" w:cs="Times New Roman"/>
                <w:b/>
                <w:bCs/>
                <w:sz w:val="18"/>
                <w:szCs w:val="18"/>
                <w:lang w:eastAsia="es-CO"/>
              </w:rPr>
              <w:t>$ 65.121.960.000</w:t>
            </w:r>
          </w:p>
        </w:tc>
      </w:tr>
    </w:tbl>
    <w:p w:rsidR="00A449EA" w:rsidRPr="00A449EA" w:rsidRDefault="00A449EA" w:rsidP="00A449EA">
      <w:pPr>
        <w:shd w:val="clear" w:color="auto" w:fill="FFFFFF"/>
        <w:spacing w:after="0" w:line="240" w:lineRule="auto"/>
        <w:jc w:val="both"/>
        <w:rPr>
          <w:rFonts w:ascii="Times New Roman" w:eastAsia="Times New Roman" w:hAnsi="Times New Roman" w:cs="Times New Roman"/>
          <w:color w:val="222222"/>
          <w:sz w:val="24"/>
          <w:szCs w:val="24"/>
          <w:lang w:eastAsia="es-CO"/>
        </w:rPr>
      </w:pPr>
      <w:r w:rsidRPr="00A449EA">
        <w:rPr>
          <w:rFonts w:ascii="Century Gothic" w:eastAsia="Times New Roman" w:hAnsi="Century Gothic" w:cs="Times New Roman"/>
          <w:b/>
          <w:bCs/>
          <w:color w:val="222222"/>
          <w:sz w:val="24"/>
          <w:szCs w:val="24"/>
          <w:lang w:eastAsia="es-CO"/>
        </w:rPr>
        <w:t> </w:t>
      </w:r>
    </w:p>
    <w:p w:rsidR="00A449EA" w:rsidRPr="00A449EA" w:rsidRDefault="00A449EA" w:rsidP="00A449EA">
      <w:pPr>
        <w:shd w:val="clear" w:color="auto" w:fill="FFFFFF"/>
        <w:spacing w:after="0" w:line="240" w:lineRule="auto"/>
        <w:jc w:val="both"/>
        <w:rPr>
          <w:rFonts w:ascii="Times New Roman" w:eastAsia="Times New Roman" w:hAnsi="Times New Roman" w:cs="Times New Roman"/>
          <w:color w:val="222222"/>
          <w:sz w:val="24"/>
          <w:szCs w:val="24"/>
          <w:lang w:eastAsia="es-CO"/>
        </w:rPr>
      </w:pPr>
      <w:r w:rsidRPr="00A449EA">
        <w:rPr>
          <w:rFonts w:ascii="Century Gothic" w:eastAsia="Times New Roman" w:hAnsi="Century Gothic" w:cs="Times New Roman"/>
          <w:color w:val="222222"/>
          <w:sz w:val="24"/>
          <w:szCs w:val="24"/>
          <w:lang w:eastAsia="es-CO"/>
        </w:rPr>
        <w:t>Y en segundo lugar, el paro judicial afectó la prestación del servicio de justicia a los usuarios, lo que se puede medir en términos ya no de dinero sino de audiencias dejadas de realizar y de los procesos que quedaron pendientes de decisión hasta tanto se reactivaron las labores judiciales. Este ejercicio arroja un efecto negativo en la atención de la demanda judicial de 168.000</w:t>
      </w:r>
      <w:r w:rsidRPr="00A449EA">
        <w:rPr>
          <w:rFonts w:ascii="Century Gothic" w:eastAsia="Times New Roman" w:hAnsi="Century Gothic" w:cs="Times New Roman"/>
          <w:color w:val="222222"/>
          <w:sz w:val="28"/>
          <w:szCs w:val="28"/>
          <w:lang w:eastAsia="es-CO"/>
        </w:rPr>
        <w:t> </w:t>
      </w:r>
      <w:r w:rsidRPr="00A449EA">
        <w:rPr>
          <w:rFonts w:ascii="Century Gothic" w:eastAsia="Times New Roman" w:hAnsi="Century Gothic" w:cs="Times New Roman"/>
          <w:color w:val="222222"/>
          <w:sz w:val="24"/>
          <w:szCs w:val="24"/>
          <w:lang w:val="es-MX" w:eastAsia="es-CO"/>
        </w:rPr>
        <w:t>asuntos judiciales. De esos asuntos, </w:t>
      </w:r>
      <w:r w:rsidRPr="00A449EA">
        <w:rPr>
          <w:rFonts w:ascii="Century Gothic" w:eastAsia="Times New Roman" w:hAnsi="Century Gothic" w:cs="Times New Roman"/>
          <w:color w:val="222222"/>
          <w:sz w:val="24"/>
          <w:szCs w:val="24"/>
          <w:lang w:eastAsia="es-CO"/>
        </w:rPr>
        <w:t xml:space="preserve">el 16% corresponde a audiencias de control de garantías, que en total se pospusieron 27.225 </w:t>
      </w:r>
      <w:r w:rsidRPr="00A449EA">
        <w:rPr>
          <w:rFonts w:ascii="Century Gothic" w:eastAsia="Times New Roman" w:hAnsi="Century Gothic" w:cs="Times New Roman"/>
          <w:color w:val="222222"/>
          <w:sz w:val="24"/>
          <w:szCs w:val="24"/>
          <w:lang w:eastAsia="es-CO"/>
        </w:rPr>
        <w:lastRenderedPageBreak/>
        <w:t>audiencias, y el 84% restante corresponde a los procesos en primera, única y segunda instancia, incluyendo las acciones constitucionales, que no se resolvieron durante el paro y que en total suman 141.367 decisiones. Ello se aprecia mejor en la siguiente gráfica:</w:t>
      </w:r>
    </w:p>
    <w:p w:rsidR="00A449EA" w:rsidRPr="00A449EA" w:rsidRDefault="00A449EA" w:rsidP="00A449EA">
      <w:pPr>
        <w:shd w:val="clear" w:color="auto" w:fill="FFFFFF"/>
        <w:spacing w:after="0" w:line="240" w:lineRule="auto"/>
        <w:rPr>
          <w:rFonts w:ascii="Times New Roman" w:eastAsia="Times New Roman" w:hAnsi="Times New Roman" w:cs="Times New Roman"/>
          <w:color w:val="222222"/>
          <w:sz w:val="24"/>
          <w:szCs w:val="24"/>
          <w:lang w:eastAsia="es-CO"/>
        </w:rPr>
      </w:pPr>
      <w:r w:rsidRPr="00A449EA">
        <w:rPr>
          <w:rFonts w:ascii="Century Gothic" w:eastAsia="Times New Roman" w:hAnsi="Century Gothic" w:cs="Times New Roman"/>
          <w:b/>
          <w:bCs/>
          <w:color w:val="222222"/>
          <w:sz w:val="24"/>
          <w:szCs w:val="24"/>
          <w:lang w:val="es-MX" w:eastAsia="es-CO"/>
        </w:rPr>
        <w:t> </w:t>
      </w:r>
    </w:p>
    <w:p w:rsidR="00A449EA" w:rsidRDefault="00A449EA" w:rsidP="00A449EA">
      <w:pPr>
        <w:shd w:val="clear" w:color="auto" w:fill="FFFFFF"/>
        <w:spacing w:after="0" w:line="240" w:lineRule="auto"/>
        <w:jc w:val="center"/>
        <w:rPr>
          <w:rFonts w:ascii="Times New Roman" w:eastAsia="Times New Roman" w:hAnsi="Times New Roman" w:cs="Times New Roman"/>
          <w:color w:val="222222"/>
          <w:sz w:val="24"/>
          <w:szCs w:val="24"/>
          <w:lang w:eastAsia="es-CO"/>
        </w:rPr>
      </w:pPr>
    </w:p>
    <w:p w:rsidR="00A449EA" w:rsidRDefault="00A449EA" w:rsidP="00A449EA">
      <w:pPr>
        <w:shd w:val="clear" w:color="auto" w:fill="FFFFFF"/>
        <w:spacing w:after="0" w:line="240" w:lineRule="auto"/>
        <w:jc w:val="center"/>
        <w:rPr>
          <w:rFonts w:ascii="Times New Roman" w:eastAsia="Times New Roman" w:hAnsi="Times New Roman" w:cs="Times New Roman"/>
          <w:color w:val="222222"/>
          <w:sz w:val="24"/>
          <w:szCs w:val="24"/>
          <w:lang w:eastAsia="es-CO"/>
        </w:rPr>
      </w:pPr>
      <w:r>
        <w:rPr>
          <w:rFonts w:ascii="Times New Roman" w:eastAsia="Times New Roman" w:hAnsi="Times New Roman" w:cs="Times New Roman"/>
          <w:noProof/>
          <w:color w:val="222222"/>
          <w:sz w:val="24"/>
          <w:szCs w:val="24"/>
          <w:lang w:eastAsia="es-CO"/>
        </w:rPr>
        <w:drawing>
          <wp:inline distT="0" distB="0" distL="0" distR="0">
            <wp:extent cx="5607050" cy="2303145"/>
            <wp:effectExtent l="0" t="0" r="0" b="1905"/>
            <wp:docPr id="2" name="Imagen 2" descr="C:\Users\greyc\Desktop\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eyc\Desktop\image00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7050" cy="2303145"/>
                    </a:xfrm>
                    <a:prstGeom prst="rect">
                      <a:avLst/>
                    </a:prstGeom>
                    <a:noFill/>
                    <a:ln>
                      <a:noFill/>
                    </a:ln>
                  </pic:spPr>
                </pic:pic>
              </a:graphicData>
            </a:graphic>
          </wp:inline>
        </w:drawing>
      </w:r>
    </w:p>
    <w:p w:rsidR="00A449EA" w:rsidRDefault="00A449EA" w:rsidP="00A449EA">
      <w:pPr>
        <w:shd w:val="clear" w:color="auto" w:fill="FFFFFF"/>
        <w:spacing w:after="0" w:line="240" w:lineRule="auto"/>
        <w:jc w:val="center"/>
        <w:rPr>
          <w:rFonts w:ascii="Times New Roman" w:eastAsia="Times New Roman" w:hAnsi="Times New Roman" w:cs="Times New Roman"/>
          <w:color w:val="222222"/>
          <w:sz w:val="24"/>
          <w:szCs w:val="24"/>
          <w:lang w:eastAsia="es-CO"/>
        </w:rPr>
      </w:pPr>
    </w:p>
    <w:p w:rsidR="00A449EA" w:rsidRPr="00A449EA" w:rsidRDefault="00A449EA" w:rsidP="00A449EA">
      <w:pPr>
        <w:shd w:val="clear" w:color="auto" w:fill="FFFFFF"/>
        <w:spacing w:after="0" w:line="240" w:lineRule="auto"/>
        <w:rPr>
          <w:rFonts w:ascii="Times New Roman" w:eastAsia="Times New Roman" w:hAnsi="Times New Roman" w:cs="Times New Roman"/>
          <w:color w:val="222222"/>
          <w:sz w:val="24"/>
          <w:szCs w:val="24"/>
          <w:lang w:eastAsia="es-CO"/>
        </w:rPr>
      </w:pPr>
      <w:r w:rsidRPr="00A449EA">
        <w:rPr>
          <w:rFonts w:ascii="Century Gothic" w:eastAsia="Times New Roman" w:hAnsi="Century Gothic" w:cs="Times New Roman"/>
          <w:b/>
          <w:bCs/>
          <w:color w:val="222222"/>
          <w:sz w:val="24"/>
          <w:szCs w:val="24"/>
          <w:lang w:val="es-MX" w:eastAsia="es-CO"/>
        </w:rPr>
        <w:t> </w:t>
      </w:r>
    </w:p>
    <w:p w:rsidR="00A449EA" w:rsidRPr="00A449EA" w:rsidRDefault="00A449EA" w:rsidP="00A449EA">
      <w:pPr>
        <w:shd w:val="clear" w:color="auto" w:fill="FFFFFF"/>
        <w:spacing w:after="0" w:line="240" w:lineRule="auto"/>
        <w:jc w:val="center"/>
        <w:rPr>
          <w:rFonts w:ascii="Times New Roman" w:eastAsia="Times New Roman" w:hAnsi="Times New Roman" w:cs="Times New Roman"/>
          <w:color w:val="222222"/>
          <w:sz w:val="24"/>
          <w:szCs w:val="24"/>
          <w:lang w:eastAsia="es-CO"/>
        </w:rPr>
      </w:pPr>
      <w:r w:rsidRPr="00A449EA">
        <w:rPr>
          <w:rFonts w:ascii="Century Gothic" w:eastAsia="Times New Roman" w:hAnsi="Century Gothic" w:cs="Times New Roman"/>
          <w:b/>
          <w:bCs/>
          <w:color w:val="222222"/>
          <w:sz w:val="24"/>
          <w:szCs w:val="24"/>
          <w:lang w:val="es-MX" w:eastAsia="es-CO"/>
        </w:rPr>
        <w:t>Néstor Raúl Correa Henao</w:t>
      </w:r>
    </w:p>
    <w:p w:rsidR="00A449EA" w:rsidRPr="00A449EA" w:rsidRDefault="00A449EA" w:rsidP="00A449EA">
      <w:pPr>
        <w:shd w:val="clear" w:color="auto" w:fill="FFFFFF"/>
        <w:spacing w:after="0" w:line="240" w:lineRule="auto"/>
        <w:jc w:val="center"/>
        <w:rPr>
          <w:rFonts w:ascii="Times New Roman" w:eastAsia="Times New Roman" w:hAnsi="Times New Roman" w:cs="Times New Roman"/>
          <w:color w:val="222222"/>
          <w:sz w:val="24"/>
          <w:szCs w:val="24"/>
          <w:lang w:eastAsia="es-CO"/>
        </w:rPr>
      </w:pPr>
      <w:r w:rsidRPr="00A449EA">
        <w:rPr>
          <w:rFonts w:ascii="Century Gothic" w:eastAsia="Times New Roman" w:hAnsi="Century Gothic" w:cs="Times New Roman"/>
          <w:b/>
          <w:bCs/>
          <w:color w:val="222222"/>
          <w:sz w:val="24"/>
          <w:szCs w:val="24"/>
          <w:lang w:val="es-MX" w:eastAsia="es-CO"/>
        </w:rPr>
        <w:t>Presidente</w:t>
      </w:r>
    </w:p>
    <w:p w:rsidR="00A449EA" w:rsidRPr="00A449EA" w:rsidRDefault="00A449EA" w:rsidP="00A449EA">
      <w:pPr>
        <w:shd w:val="clear" w:color="auto" w:fill="FFFFFF"/>
        <w:spacing w:after="0" w:line="240" w:lineRule="auto"/>
        <w:rPr>
          <w:rFonts w:ascii="Times New Roman" w:eastAsia="Times New Roman" w:hAnsi="Times New Roman" w:cs="Times New Roman"/>
          <w:color w:val="222222"/>
          <w:sz w:val="24"/>
          <w:szCs w:val="24"/>
          <w:lang w:eastAsia="es-CO"/>
        </w:rPr>
      </w:pPr>
      <w:r w:rsidRPr="00A449EA">
        <w:rPr>
          <w:rFonts w:ascii="Times New Roman" w:eastAsia="Times New Roman" w:hAnsi="Times New Roman" w:cs="Times New Roman"/>
          <w:color w:val="222222"/>
          <w:sz w:val="24"/>
          <w:szCs w:val="24"/>
          <w:lang w:eastAsia="es-CO"/>
        </w:rPr>
        <w:t> </w:t>
      </w:r>
    </w:p>
    <w:p w:rsidR="008A373C" w:rsidRDefault="008A373C"/>
    <w:sectPr w:rsidR="008A37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9EA"/>
    <w:rsid w:val="00242F0B"/>
    <w:rsid w:val="007463BB"/>
    <w:rsid w:val="008A373C"/>
    <w:rsid w:val="00A449E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A449EA"/>
  </w:style>
  <w:style w:type="character" w:styleId="Hipervnculo">
    <w:name w:val="Hyperlink"/>
    <w:basedOn w:val="Fuentedeprrafopredeter"/>
    <w:uiPriority w:val="99"/>
    <w:semiHidden/>
    <w:unhideWhenUsed/>
    <w:rsid w:val="00A449EA"/>
    <w:rPr>
      <w:color w:val="0000FF"/>
      <w:u w:val="single"/>
    </w:rPr>
  </w:style>
  <w:style w:type="paragraph" w:styleId="Textodeglobo">
    <w:name w:val="Balloon Text"/>
    <w:basedOn w:val="Normal"/>
    <w:link w:val="TextodegloboCar"/>
    <w:uiPriority w:val="99"/>
    <w:semiHidden/>
    <w:unhideWhenUsed/>
    <w:rsid w:val="00A449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49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A449EA"/>
  </w:style>
  <w:style w:type="character" w:styleId="Hipervnculo">
    <w:name w:val="Hyperlink"/>
    <w:basedOn w:val="Fuentedeprrafopredeter"/>
    <w:uiPriority w:val="99"/>
    <w:semiHidden/>
    <w:unhideWhenUsed/>
    <w:rsid w:val="00A449EA"/>
    <w:rPr>
      <w:color w:val="0000FF"/>
      <w:u w:val="single"/>
    </w:rPr>
  </w:style>
  <w:style w:type="paragraph" w:styleId="Textodeglobo">
    <w:name w:val="Balloon Text"/>
    <w:basedOn w:val="Normal"/>
    <w:link w:val="TextodegloboCar"/>
    <w:uiPriority w:val="99"/>
    <w:semiHidden/>
    <w:unhideWhenUsed/>
    <w:rsid w:val="00A449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49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095043">
      <w:bodyDiv w:val="1"/>
      <w:marLeft w:val="0"/>
      <w:marRight w:val="0"/>
      <w:marTop w:val="0"/>
      <w:marBottom w:val="0"/>
      <w:divBdr>
        <w:top w:val="none" w:sz="0" w:space="0" w:color="auto"/>
        <w:left w:val="none" w:sz="0" w:space="0" w:color="auto"/>
        <w:bottom w:val="none" w:sz="0" w:space="0" w:color="auto"/>
        <w:right w:val="none" w:sz="0" w:space="0" w:color="auto"/>
      </w:divBdr>
      <w:divsChild>
        <w:div w:id="422142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tel:2.188.732.000" TargetMode="External"/><Relationship Id="rId5" Type="http://schemas.openxmlformats.org/officeDocument/2006/relationships/hyperlink" Target="tel:2.188.732.62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419</Words>
  <Characters>2305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German Oswaldo Rey Castro</dc:creator>
  <cp:lastModifiedBy>German Oswaldo Rey Castro</cp:lastModifiedBy>
  <cp:revision>1</cp:revision>
  <dcterms:created xsi:type="dcterms:W3CDTF">2013-01-02T16:16:00Z</dcterms:created>
  <dcterms:modified xsi:type="dcterms:W3CDTF">2013-01-02T16:19:00Z</dcterms:modified>
</cp:coreProperties>
</file>