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CA3" w:rsidRPr="00AC2ED0" w:rsidRDefault="00D16C8B" w:rsidP="002F241B">
      <w:pPr>
        <w:rPr>
          <w:rFonts w:cs="Arial"/>
          <w:szCs w:val="16"/>
          <w:lang w:val="es-CO"/>
        </w:rPr>
      </w:pPr>
      <w:bookmarkStart w:id="0" w:name="_GoBack"/>
      <w:bookmarkEnd w:id="0"/>
      <w:r w:rsidRPr="00AC2ED0">
        <w:rPr>
          <w:rFonts w:cs="Arial"/>
          <w:szCs w:val="16"/>
          <w:lang w:val="es-CO"/>
        </w:rPr>
        <w:t xml:space="preserve">2.3.3.1.11. </w:t>
      </w:r>
      <w:r w:rsidR="00A67CA3" w:rsidRPr="00AC2ED0">
        <w:rPr>
          <w:rFonts w:cs="Arial"/>
          <w:szCs w:val="16"/>
          <w:lang w:val="es-CO"/>
        </w:rPr>
        <w:t>Establecer los mecanismos necesarios para que el mantenimiento y la instalación o desinstalación de programas o dispositivos en las terminales o equipos de cómputo sólo pueda ser realizado por personal debidamente autorizado.</w:t>
      </w:r>
    </w:p>
    <w:p w:rsidR="00D16C8B" w:rsidRPr="00AC2ED0" w:rsidRDefault="006A64D5" w:rsidP="002F241B">
      <w:pPr>
        <w:rPr>
          <w:rFonts w:cs="Arial"/>
          <w:szCs w:val="16"/>
          <w:lang w:val="es-CO"/>
        </w:rPr>
      </w:pPr>
      <w:r>
        <w:rPr>
          <w:rFonts w:cs="Arial"/>
          <w:szCs w:val="16"/>
          <w:lang w:val="es-CO"/>
        </w:rPr>
        <w:t xml:space="preserve"> </w:t>
      </w:r>
    </w:p>
    <w:p w:rsidR="00A67CA3" w:rsidRPr="00AC2ED0" w:rsidRDefault="00D16C8B" w:rsidP="002F241B">
      <w:pPr>
        <w:rPr>
          <w:rFonts w:cs="Arial"/>
          <w:szCs w:val="16"/>
          <w:lang w:val="es-CO"/>
        </w:rPr>
      </w:pPr>
      <w:r w:rsidRPr="00AC2ED0">
        <w:rPr>
          <w:rFonts w:cs="Arial"/>
          <w:szCs w:val="16"/>
          <w:lang w:val="es-CO"/>
        </w:rPr>
        <w:t xml:space="preserve">2.3.3.1.12. </w:t>
      </w:r>
      <w:r w:rsidR="00A67CA3" w:rsidRPr="00AC2ED0">
        <w:rPr>
          <w:rFonts w:cs="Arial"/>
          <w:szCs w:val="16"/>
          <w:lang w:val="es-CO"/>
        </w:rPr>
        <w:t>Establecer procedimientos para el bloqueo de canales o de instrumentos para la realización de operaciones, cuando existan situaciones o hechos que lo ameriten o después de un número de intentos de accesos fallidos por</w:t>
      </w:r>
      <w:r w:rsidR="00E23FE0" w:rsidRPr="00AC2ED0">
        <w:rPr>
          <w:rFonts w:cs="Arial"/>
          <w:szCs w:val="16"/>
          <w:lang w:val="es-CO"/>
        </w:rPr>
        <w:t xml:space="preserve"> </w:t>
      </w:r>
      <w:r w:rsidR="00A67CA3" w:rsidRPr="00AC2ED0">
        <w:rPr>
          <w:rFonts w:cs="Arial"/>
          <w:szCs w:val="16"/>
          <w:lang w:val="es-CO"/>
        </w:rPr>
        <w:t>parte de un cliente, así como las medidas operativas y de seguridad para la reactivación de los mismos.</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2.3.3.1.13. </w:t>
      </w:r>
      <w:r w:rsidR="00A67CA3" w:rsidRPr="00AC2ED0">
        <w:rPr>
          <w:rFonts w:cs="Arial"/>
          <w:szCs w:val="16"/>
          <w:lang w:val="es-CO"/>
        </w:rPr>
        <w:t>Elaborar el perfil de las costumbres transaccionales de cada uno de sus clientes y definir procedimientos para la confirmación oportuna de las operaciones monetarias que no correspondan a sus hábitos.</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2.3.3.1.14. </w:t>
      </w:r>
      <w:r w:rsidR="00A67CA3" w:rsidRPr="00AC2ED0">
        <w:rPr>
          <w:rFonts w:cs="Arial"/>
          <w:szCs w:val="16"/>
          <w:lang w:val="es-CO"/>
        </w:rPr>
        <w:t>Realizar una adecuada segregación de funciones del personal que administre, opere, mantenga y, en general, tenga la posibilidad de acceder a los dispositivos y sistemas usados en los distintos canales e instrumentos para la realización de operaciones. En desarrollo de lo anterior, las entidades deben establecer los procedimientos y controles para el alistamiento, transporte, instalación y mantenimiento de los dispositivos usados en los canales de distribución de servicios.</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2.3.3.1.15. </w:t>
      </w:r>
      <w:r w:rsidR="00A67CA3" w:rsidRPr="00AC2ED0">
        <w:rPr>
          <w:rFonts w:cs="Arial"/>
          <w:szCs w:val="16"/>
          <w:lang w:val="es-CO"/>
        </w:rPr>
        <w:t>Definir los procedimientos y medidas que se deben ejecutar cuando se encuentre evidencia de la alteración de los dispositivos usados en los canales de distribución de servicios financieros.</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2.3.3.1.16. </w:t>
      </w:r>
      <w:r w:rsidR="00A67CA3" w:rsidRPr="00AC2ED0">
        <w:rPr>
          <w:rFonts w:cs="Arial"/>
          <w:szCs w:val="16"/>
          <w:lang w:val="es-CO"/>
        </w:rPr>
        <w:t>Sincronizar todos los relojes de los sistemas de información de la entidad involucrados en los canales de distribución. Se debe tener como referencia la hora oficial suministrada por la Superintendencia de Industria y Comercio.</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2.3.3.1.17. </w:t>
      </w:r>
      <w:r w:rsidR="00A67CA3" w:rsidRPr="00AC2ED0">
        <w:rPr>
          <w:rFonts w:cs="Arial"/>
          <w:szCs w:val="16"/>
          <w:lang w:val="es-CO"/>
        </w:rPr>
        <w:t>Tener en operación sólo los protocolos, servicios, aplicaciones, usuarios, equipos, entre otros, necesarios para el desarrollo de su actividad.</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2.3.3.1.18. </w:t>
      </w:r>
      <w:r w:rsidR="00A67CA3" w:rsidRPr="00AC2ED0">
        <w:rPr>
          <w:rFonts w:cs="Arial"/>
          <w:szCs w:val="16"/>
          <w:lang w:val="es-CO"/>
        </w:rPr>
        <w:t>Contar con controles y alarmas que informen sobre el estado de los canales, y además permitan</w:t>
      </w:r>
      <w:r w:rsidR="00E23FE0" w:rsidRPr="00AC2ED0">
        <w:rPr>
          <w:rFonts w:cs="Arial"/>
          <w:szCs w:val="16"/>
          <w:lang w:val="es-CO"/>
        </w:rPr>
        <w:t xml:space="preserve"> </w:t>
      </w:r>
      <w:r w:rsidR="00A67CA3" w:rsidRPr="00AC2ED0">
        <w:rPr>
          <w:rFonts w:cs="Arial"/>
          <w:szCs w:val="16"/>
          <w:lang w:val="es-CO"/>
        </w:rPr>
        <w:t>identificar y corregir las fallas oportunamente.</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2.3.3.1.19. </w:t>
      </w:r>
      <w:r w:rsidR="00A67CA3" w:rsidRPr="00AC2ED0">
        <w:rPr>
          <w:rFonts w:cs="Arial"/>
          <w:szCs w:val="16"/>
          <w:lang w:val="es-CO"/>
        </w:rPr>
        <w:t xml:space="preserve">Incluir en el informe de gestión a que se refiere el </w:t>
      </w:r>
      <w:r w:rsidR="00C62804" w:rsidRPr="00AC2ED0">
        <w:rPr>
          <w:rFonts w:cs="Arial"/>
          <w:szCs w:val="16"/>
          <w:lang w:val="es-CO"/>
        </w:rPr>
        <w:t>art. 47 de la L</w:t>
      </w:r>
      <w:r w:rsidR="00A67CA3" w:rsidRPr="00AC2ED0">
        <w:rPr>
          <w:rFonts w:cs="Arial"/>
          <w:szCs w:val="16"/>
          <w:lang w:val="es-CO"/>
        </w:rPr>
        <w:t>ey 222 de 1995</w:t>
      </w:r>
      <w:r w:rsidR="0065441B" w:rsidRPr="00AC2ED0">
        <w:rPr>
          <w:rFonts w:cs="Arial"/>
          <w:szCs w:val="16"/>
          <w:lang w:val="es-CO"/>
        </w:rPr>
        <w:t xml:space="preserve"> –modificado por el art. 1 de la Ley 603 de 2000-</w:t>
      </w:r>
      <w:r w:rsidR="00A67CA3" w:rsidRPr="00AC2ED0">
        <w:rPr>
          <w:rFonts w:cs="Arial"/>
          <w:szCs w:val="16"/>
          <w:lang w:val="es-CO"/>
        </w:rPr>
        <w:t>, un análisis sobre el cumplimiento de las obligaciones enumeradas en la presente Circular.</w:t>
      </w:r>
    </w:p>
    <w:p w:rsidR="00D16C8B" w:rsidRPr="00AC2ED0" w:rsidRDefault="00D16C8B" w:rsidP="002F241B">
      <w:pPr>
        <w:rPr>
          <w:rFonts w:cs="Arial"/>
          <w:szCs w:val="16"/>
          <w:lang w:val="es-CO"/>
        </w:rPr>
      </w:pPr>
    </w:p>
    <w:p w:rsidR="00A67CA3" w:rsidRDefault="00D16C8B" w:rsidP="002F241B">
      <w:pPr>
        <w:rPr>
          <w:rFonts w:cs="Arial"/>
          <w:szCs w:val="16"/>
          <w:lang w:val="es-CO"/>
        </w:rPr>
      </w:pPr>
      <w:r w:rsidRPr="00AC2ED0">
        <w:rPr>
          <w:rFonts w:cs="Arial"/>
          <w:szCs w:val="16"/>
          <w:lang w:val="es-CO"/>
        </w:rPr>
        <w:t xml:space="preserve">2.3.3.1.20. </w:t>
      </w:r>
      <w:r w:rsidR="00A67CA3" w:rsidRPr="00AC2ED0">
        <w:rPr>
          <w:rFonts w:cs="Arial"/>
          <w:szCs w:val="16"/>
          <w:lang w:val="es-CO"/>
        </w:rPr>
        <w:t>Considerar en sus políticas y procedimientos relativos a los canales de distribución, la atención a personas con discapacidades físicas, con el fin de que no se vea menoscabada la seguridad de su información</w:t>
      </w:r>
      <w:r w:rsidR="00E23FE0" w:rsidRPr="00AC2ED0">
        <w:rPr>
          <w:rFonts w:cs="Arial"/>
          <w:szCs w:val="16"/>
          <w:lang w:val="es-CO"/>
        </w:rPr>
        <w:t>.</w:t>
      </w:r>
    </w:p>
    <w:p w:rsidR="007F3102" w:rsidRDefault="007F3102" w:rsidP="002F241B">
      <w:pPr>
        <w:rPr>
          <w:rFonts w:cs="Arial"/>
          <w:szCs w:val="16"/>
          <w:lang w:val="es-CO"/>
        </w:rPr>
      </w:pPr>
    </w:p>
    <w:p w:rsidR="005C4239" w:rsidRPr="004E6452" w:rsidRDefault="005C4239" w:rsidP="004E6452">
      <w:pPr>
        <w:rPr>
          <w:rFonts w:cs="Arial"/>
          <w:szCs w:val="16"/>
          <w:lang w:val="es-CO"/>
        </w:rPr>
      </w:pPr>
      <w:r w:rsidRPr="004E6452">
        <w:rPr>
          <w:rFonts w:cs="Arial"/>
          <w:szCs w:val="16"/>
          <w:lang w:val="es-CO"/>
        </w:rPr>
        <w:t xml:space="preserve">2.3.3.1.21. Los establecimientos de crédito deben </w:t>
      </w:r>
      <w:r w:rsidR="007142A1" w:rsidRPr="004E6452">
        <w:rPr>
          <w:rFonts w:cs="Arial"/>
          <w:szCs w:val="16"/>
          <w:lang w:val="es-CO"/>
        </w:rPr>
        <w:t xml:space="preserve">adoptar </w:t>
      </w:r>
      <w:r w:rsidR="00061898" w:rsidRPr="004E6452">
        <w:rPr>
          <w:rFonts w:cs="Arial"/>
          <w:szCs w:val="16"/>
          <w:lang w:val="es-CO"/>
        </w:rPr>
        <w:t>mecanismos que le permitan atender las operaciones de los consumidores financieros, por los canales que resulten necesarios y por las cuantías que determine razonables, para garantizar un nivel mínimo de prestación de sus servicios a los consumidores financieros</w:t>
      </w:r>
      <w:r w:rsidR="007142A1" w:rsidRPr="004E6452">
        <w:rPr>
          <w:rFonts w:cs="Arial"/>
          <w:szCs w:val="16"/>
          <w:lang w:val="es-CO"/>
        </w:rPr>
        <w:t>,</w:t>
      </w:r>
      <w:r w:rsidR="00061898" w:rsidRPr="004E6452">
        <w:rPr>
          <w:rFonts w:cs="Arial"/>
          <w:szCs w:val="16"/>
          <w:lang w:val="es-CO"/>
        </w:rPr>
        <w:t xml:space="preserve"> cuando </w:t>
      </w:r>
      <w:r w:rsidR="007142A1" w:rsidRPr="004E6452">
        <w:rPr>
          <w:rFonts w:cs="Arial"/>
          <w:szCs w:val="16"/>
          <w:lang w:val="es-CO"/>
        </w:rPr>
        <w:t xml:space="preserve">la entidad </w:t>
      </w:r>
      <w:r w:rsidR="00061898" w:rsidRPr="004E6452">
        <w:rPr>
          <w:rFonts w:cs="Arial"/>
          <w:szCs w:val="16"/>
          <w:lang w:val="es-CO"/>
        </w:rPr>
        <w:t>opere fuera de línea</w:t>
      </w:r>
      <w:r w:rsidRPr="004E6452">
        <w:rPr>
          <w:rFonts w:cs="Arial"/>
          <w:szCs w:val="16"/>
          <w:lang w:val="es-CO"/>
        </w:rPr>
        <w:t>.</w:t>
      </w:r>
    </w:p>
    <w:p w:rsidR="005C4239" w:rsidRPr="004E6452" w:rsidRDefault="005C4239" w:rsidP="004E6452">
      <w:pPr>
        <w:rPr>
          <w:rFonts w:cs="Arial"/>
          <w:szCs w:val="16"/>
          <w:lang w:val="es-CO"/>
        </w:rPr>
      </w:pPr>
    </w:p>
    <w:p w:rsidR="00D34552" w:rsidRPr="004E6452" w:rsidRDefault="005C4239" w:rsidP="004E6452">
      <w:pPr>
        <w:pBdr>
          <w:left w:val="single" w:sz="4" w:space="4" w:color="auto"/>
        </w:pBdr>
        <w:rPr>
          <w:rFonts w:cs="Arial"/>
          <w:b/>
          <w:szCs w:val="16"/>
          <w:lang w:val="es-CO"/>
        </w:rPr>
      </w:pPr>
      <w:r w:rsidRPr="004E6452">
        <w:rPr>
          <w:rFonts w:cs="Arial"/>
          <w:szCs w:val="16"/>
          <w:lang w:val="es-CO"/>
        </w:rPr>
        <w:t xml:space="preserve">2.3.3.1.22. Los establecimientos de crédito deben </w:t>
      </w:r>
      <w:r w:rsidR="004E6452">
        <w:rPr>
          <w:rFonts w:cs="Arial"/>
          <w:b/>
          <w:szCs w:val="16"/>
          <w:lang w:val="es-CO"/>
        </w:rPr>
        <w:t>enviar</w:t>
      </w:r>
      <w:r w:rsidRPr="004E6452">
        <w:rPr>
          <w:rFonts w:cs="Arial"/>
          <w:szCs w:val="16"/>
          <w:lang w:val="es-CO"/>
        </w:rPr>
        <w:t xml:space="preserve"> </w:t>
      </w:r>
      <w:r w:rsidR="00D34552" w:rsidRPr="004E6452">
        <w:rPr>
          <w:rFonts w:cs="Arial"/>
          <w:szCs w:val="16"/>
          <w:lang w:val="es-CO"/>
        </w:rPr>
        <w:t xml:space="preserve">trimestralmente </w:t>
      </w:r>
      <w:r w:rsidR="004E6452" w:rsidRPr="004E6452">
        <w:rPr>
          <w:rFonts w:cs="Arial"/>
          <w:b/>
          <w:szCs w:val="16"/>
          <w:lang w:val="es-CO"/>
        </w:rPr>
        <w:t>a la SFC</w:t>
      </w:r>
      <w:r w:rsidR="00FC610F">
        <w:rPr>
          <w:rFonts w:cs="Arial"/>
          <w:b/>
          <w:szCs w:val="16"/>
          <w:lang w:val="es-CO"/>
        </w:rPr>
        <w:t>,</w:t>
      </w:r>
      <w:r w:rsidR="004E6452" w:rsidRPr="004E6452">
        <w:rPr>
          <w:rFonts w:cs="Arial"/>
          <w:b/>
          <w:szCs w:val="16"/>
          <w:lang w:val="es-CO"/>
        </w:rPr>
        <w:t xml:space="preserve"> a la dirección de correo riesgooperativo@superfinanciera.gov.co</w:t>
      </w:r>
      <w:r w:rsidR="00267D92">
        <w:rPr>
          <w:rFonts w:cs="Arial"/>
          <w:b/>
          <w:szCs w:val="16"/>
          <w:lang w:val="es-CO"/>
        </w:rPr>
        <w:t>,</w:t>
      </w:r>
      <w:r w:rsidR="00061898" w:rsidRPr="004E6452">
        <w:rPr>
          <w:rFonts w:cs="Arial"/>
          <w:szCs w:val="16"/>
          <w:lang w:val="es-CO"/>
        </w:rPr>
        <w:t xml:space="preserve"> </w:t>
      </w:r>
      <w:r w:rsidRPr="004E6452">
        <w:rPr>
          <w:rFonts w:cs="Arial"/>
          <w:szCs w:val="16"/>
          <w:lang w:val="es-CO"/>
        </w:rPr>
        <w:t>un informe sobre la disponibilidad</w:t>
      </w:r>
      <w:r w:rsidR="00D34552" w:rsidRPr="004E6452">
        <w:rPr>
          <w:rFonts w:cs="Arial"/>
          <w:szCs w:val="16"/>
          <w:lang w:val="es-CO"/>
        </w:rPr>
        <w:t xml:space="preserve"> mensual</w:t>
      </w:r>
      <w:r w:rsidRPr="004E6452">
        <w:rPr>
          <w:rFonts w:cs="Arial"/>
          <w:szCs w:val="16"/>
          <w:lang w:val="es-CO"/>
        </w:rPr>
        <w:t xml:space="preserve"> de cada uno de los canales por medio de los cuales presta sus servicios</w:t>
      </w:r>
      <w:r w:rsidR="003730E8">
        <w:rPr>
          <w:rFonts w:cs="Arial"/>
          <w:szCs w:val="16"/>
          <w:lang w:val="es-CO"/>
        </w:rPr>
        <w:t xml:space="preserve"> </w:t>
      </w:r>
      <w:r w:rsidR="003730E8" w:rsidRPr="003730E8">
        <w:rPr>
          <w:rFonts w:cs="Arial"/>
          <w:b/>
          <w:szCs w:val="16"/>
          <w:lang w:val="es-CO"/>
        </w:rPr>
        <w:t>en el que se incluya</w:t>
      </w:r>
      <w:r w:rsidR="003730E8">
        <w:rPr>
          <w:rFonts w:cs="Arial"/>
          <w:b/>
          <w:szCs w:val="16"/>
          <w:lang w:val="es-CO"/>
        </w:rPr>
        <w:t xml:space="preserve"> el detalle de la metodología utilizada para el cálculo de la disponibilidad</w:t>
      </w:r>
      <w:r w:rsidRPr="004E6452">
        <w:rPr>
          <w:rFonts w:cs="Arial"/>
          <w:szCs w:val="16"/>
          <w:lang w:val="es-CO"/>
        </w:rPr>
        <w:t>.</w:t>
      </w:r>
      <w:r w:rsidR="00D065F1" w:rsidRPr="004E6452">
        <w:rPr>
          <w:rFonts w:cs="Arial"/>
          <w:szCs w:val="16"/>
          <w:lang w:val="es-CO"/>
        </w:rPr>
        <w:t xml:space="preserve"> Se entiende por disponibilidad el </w:t>
      </w:r>
      <w:r w:rsidR="00061898" w:rsidRPr="004E6452">
        <w:rPr>
          <w:rFonts w:cs="Arial"/>
          <w:szCs w:val="16"/>
          <w:lang w:val="es-CO"/>
        </w:rPr>
        <w:t>porcentaje</w:t>
      </w:r>
      <w:r w:rsidR="00D34552" w:rsidRPr="004E6452">
        <w:rPr>
          <w:rFonts w:cs="Arial"/>
          <w:szCs w:val="16"/>
          <w:lang w:val="es-CO"/>
        </w:rPr>
        <w:t xml:space="preserve"> </w:t>
      </w:r>
      <w:r w:rsidR="007F7A43" w:rsidRPr="004E6452">
        <w:rPr>
          <w:rFonts w:cs="Arial"/>
          <w:szCs w:val="16"/>
          <w:lang w:val="es-CO"/>
        </w:rPr>
        <w:t>de</w:t>
      </w:r>
      <w:r w:rsidR="00061898" w:rsidRPr="004E6452">
        <w:rPr>
          <w:rFonts w:cs="Arial"/>
          <w:szCs w:val="16"/>
          <w:lang w:val="es-CO"/>
        </w:rPr>
        <w:t xml:space="preserve"> tiempo </w:t>
      </w:r>
      <w:r w:rsidR="00D34552" w:rsidRPr="004E6452">
        <w:rPr>
          <w:rFonts w:cs="Arial"/>
          <w:szCs w:val="16"/>
          <w:lang w:val="es-CO"/>
        </w:rPr>
        <w:t xml:space="preserve">que durante el mes el canal </w:t>
      </w:r>
      <w:r w:rsidR="00061898" w:rsidRPr="004E6452">
        <w:rPr>
          <w:rFonts w:cs="Arial"/>
          <w:szCs w:val="16"/>
          <w:lang w:val="es-CO"/>
        </w:rPr>
        <w:t>estuvo habilitado para</w:t>
      </w:r>
      <w:r w:rsidR="00D34552" w:rsidRPr="004E6452">
        <w:rPr>
          <w:rFonts w:cs="Arial"/>
          <w:szCs w:val="16"/>
          <w:lang w:val="es-CO"/>
        </w:rPr>
        <w:t xml:space="preserve"> la prestación del servicio.</w:t>
      </w:r>
      <w:r w:rsidR="004E6452">
        <w:rPr>
          <w:rFonts w:cs="Arial"/>
          <w:szCs w:val="16"/>
          <w:lang w:val="es-CO"/>
        </w:rPr>
        <w:t xml:space="preserve"> </w:t>
      </w:r>
    </w:p>
    <w:p w:rsidR="00273F2D" w:rsidRPr="004E6452" w:rsidRDefault="00273F2D" w:rsidP="004E6452">
      <w:pPr>
        <w:rPr>
          <w:rFonts w:cs="Arial"/>
          <w:szCs w:val="16"/>
          <w:lang w:val="es-CO"/>
        </w:rPr>
      </w:pPr>
    </w:p>
    <w:p w:rsidR="00273F2D" w:rsidRPr="004E6452" w:rsidRDefault="00273F2D" w:rsidP="004E6452">
      <w:pPr>
        <w:rPr>
          <w:rFonts w:cs="Arial"/>
          <w:szCs w:val="16"/>
          <w:lang w:val="es-CO"/>
        </w:rPr>
      </w:pPr>
      <w:r w:rsidRPr="004E6452">
        <w:rPr>
          <w:rFonts w:cs="Arial"/>
          <w:szCs w:val="16"/>
          <w:lang w:val="es-CO"/>
        </w:rPr>
        <w:t>2.3.3.1.23. Las entidades vigiladas deben informar a la</w:t>
      </w:r>
      <w:r w:rsidR="007142A1" w:rsidRPr="004E6452">
        <w:rPr>
          <w:rFonts w:cs="Arial"/>
          <w:szCs w:val="16"/>
          <w:lang w:val="es-CO"/>
        </w:rPr>
        <w:t xml:space="preserve"> SFC a la dirección de correo</w:t>
      </w:r>
      <w:r w:rsidRPr="004E6452">
        <w:rPr>
          <w:rFonts w:cs="Arial"/>
          <w:szCs w:val="16"/>
          <w:lang w:val="es-CO"/>
        </w:rPr>
        <w:t xml:space="preserve"> riesgooperativo@superfinanciera.gov.co, los eventos que afecten de manera significativa la confidencialidad, integridad o disponibilidad de la información manejada en los sistemas que soportan los canales de atención al cliente, haciendo una breve descripción del incidente y su impacto. Los incidentes se deben reportar tan pronto se presenten.</w:t>
      </w:r>
      <w:r w:rsidR="00C10FB9" w:rsidRPr="004E6452">
        <w:rPr>
          <w:rFonts w:cs="Arial"/>
          <w:szCs w:val="16"/>
          <w:lang w:val="es-CO"/>
        </w:rPr>
        <w:t xml:space="preserve"> Así mismo, deben remitir la información de la que trata el </w:t>
      </w:r>
      <w:proofErr w:type="spellStart"/>
      <w:r w:rsidR="00C10FB9" w:rsidRPr="004E6452">
        <w:rPr>
          <w:rFonts w:cs="Arial"/>
          <w:szCs w:val="16"/>
          <w:lang w:val="es-CO"/>
        </w:rPr>
        <w:t>subnumeral</w:t>
      </w:r>
      <w:proofErr w:type="spellEnd"/>
      <w:r w:rsidR="00C10FB9" w:rsidRPr="004E6452">
        <w:rPr>
          <w:rFonts w:cs="Arial"/>
          <w:szCs w:val="16"/>
          <w:lang w:val="es-CO"/>
        </w:rPr>
        <w:t xml:space="preserve"> 3.5.1. </w:t>
      </w:r>
      <w:proofErr w:type="gramStart"/>
      <w:r w:rsidR="00C10FB9" w:rsidRPr="004E6452">
        <w:rPr>
          <w:rFonts w:cs="Arial"/>
          <w:szCs w:val="16"/>
          <w:lang w:val="es-CO"/>
        </w:rPr>
        <w:t>del</w:t>
      </w:r>
      <w:proofErr w:type="gramEnd"/>
      <w:r w:rsidR="00C10FB9" w:rsidRPr="004E6452">
        <w:rPr>
          <w:rFonts w:cs="Arial"/>
          <w:szCs w:val="16"/>
          <w:lang w:val="es-CO"/>
        </w:rPr>
        <w:t xml:space="preserve"> Capítulo I del Título III de la Parte I de la CBJ.</w:t>
      </w:r>
    </w:p>
    <w:p w:rsidR="00D34552" w:rsidRDefault="00D34552" w:rsidP="007142A1">
      <w:pPr>
        <w:rPr>
          <w:rFonts w:cs="Arial"/>
          <w:szCs w:val="16"/>
          <w:lang w:val="es-CO"/>
        </w:rPr>
      </w:pPr>
    </w:p>
    <w:p w:rsidR="00D90437" w:rsidRPr="00AC2ED0" w:rsidRDefault="00D16C8B" w:rsidP="002F241B">
      <w:r w:rsidRPr="00AC2ED0">
        <w:t>2.3.3.2.</w:t>
      </w:r>
      <w:r w:rsidR="005E477A" w:rsidRPr="00AC2ED0">
        <w:t xml:space="preserve"> </w:t>
      </w:r>
      <w:r w:rsidR="00A67CA3" w:rsidRPr="00AC2ED0">
        <w:t>En materia de documentación</w:t>
      </w:r>
    </w:p>
    <w:p w:rsidR="00D16C8B" w:rsidRPr="00AC2ED0" w:rsidRDefault="00D16C8B" w:rsidP="002F241B">
      <w:pPr>
        <w:rPr>
          <w:rFonts w:cs="Arial"/>
          <w:szCs w:val="16"/>
        </w:rPr>
      </w:pPr>
    </w:p>
    <w:p w:rsidR="00A67CA3" w:rsidRPr="00AC2ED0" w:rsidRDefault="00D90437" w:rsidP="002F241B">
      <w:pPr>
        <w:rPr>
          <w:rFonts w:cs="Arial"/>
          <w:szCs w:val="16"/>
          <w:lang w:val="es-CO"/>
        </w:rPr>
      </w:pPr>
      <w:r w:rsidRPr="00AC2ED0">
        <w:rPr>
          <w:rFonts w:cs="Arial"/>
          <w:szCs w:val="16"/>
        </w:rPr>
        <w:t>L</w:t>
      </w:r>
      <w:r w:rsidR="00A67CA3" w:rsidRPr="00AC2ED0">
        <w:rPr>
          <w:rFonts w:cs="Arial"/>
          <w:szCs w:val="16"/>
        </w:rPr>
        <w:t>as entidades deben cumplir, como mínimo, con los siguientes requerimientos:</w:t>
      </w:r>
    </w:p>
    <w:p w:rsidR="00D16C8B" w:rsidRPr="00AC2ED0" w:rsidRDefault="00D16C8B" w:rsidP="002F241B">
      <w:pPr>
        <w:rPr>
          <w:rFonts w:cs="Arial"/>
          <w:szCs w:val="16"/>
          <w:lang w:val="es-CO"/>
        </w:rPr>
      </w:pPr>
    </w:p>
    <w:p w:rsidR="00126CFB" w:rsidRPr="00AC2ED0" w:rsidRDefault="00D16C8B" w:rsidP="002F241B">
      <w:pPr>
        <w:rPr>
          <w:rFonts w:cs="Arial"/>
          <w:szCs w:val="16"/>
          <w:lang w:val="es-CO"/>
        </w:rPr>
      </w:pPr>
      <w:r w:rsidRPr="00AC2ED0">
        <w:rPr>
          <w:rFonts w:cs="Arial"/>
          <w:szCs w:val="16"/>
          <w:lang w:val="es-CO"/>
        </w:rPr>
        <w:t xml:space="preserve">2.3.3.2.1. </w:t>
      </w:r>
      <w:r w:rsidR="00A67CA3" w:rsidRPr="00AC2ED0">
        <w:rPr>
          <w:rFonts w:cs="Arial"/>
          <w:szCs w:val="16"/>
          <w:lang w:val="es-CO"/>
        </w:rPr>
        <w:t>Dejar constancia de todas las operaciones que se realicen a través de los distintos canales, la cual debe contener cuando menos lo siguiente: fecha, hora, código del dispositivo (para operaciones realizadas a través de IVR: el número del teléfono desde el cual se hizo la llamada; para operaciones por Internet: la dirección IP desde la cual se hizo la misma; para operaciones con dispositivos móviles, el número desde el cual se hizo la conexión), cuenta(s), número de la operación y costo de la misma para el cliente o usuario.</w:t>
      </w:r>
    </w:p>
    <w:p w:rsidR="00D16C8B" w:rsidRPr="00AC2ED0" w:rsidRDefault="00D16C8B" w:rsidP="002F241B">
      <w:pPr>
        <w:rPr>
          <w:rFonts w:cs="Arial"/>
          <w:szCs w:val="16"/>
          <w:lang w:val="es-CO"/>
        </w:rPr>
      </w:pPr>
    </w:p>
    <w:p w:rsidR="000B2B94" w:rsidRPr="00AC2ED0" w:rsidRDefault="00A67CA3" w:rsidP="002F241B">
      <w:pPr>
        <w:rPr>
          <w:rFonts w:cs="Arial"/>
          <w:szCs w:val="16"/>
          <w:lang w:val="es-CO"/>
        </w:rPr>
      </w:pPr>
      <w:r w:rsidRPr="00AC2ED0">
        <w:rPr>
          <w:rFonts w:cs="Arial"/>
          <w:szCs w:val="16"/>
          <w:lang w:val="es-CO"/>
        </w:rPr>
        <w:t xml:space="preserve">En los casos de operaciones que obedecen a convenios, se </w:t>
      </w:r>
      <w:r w:rsidR="00121363" w:rsidRPr="00AC2ED0">
        <w:rPr>
          <w:rFonts w:cs="Arial"/>
          <w:szCs w:val="16"/>
          <w:lang w:val="es-CO"/>
        </w:rPr>
        <w:t xml:space="preserve">debe </w:t>
      </w:r>
      <w:r w:rsidRPr="00AC2ED0">
        <w:rPr>
          <w:rFonts w:cs="Arial"/>
          <w:szCs w:val="16"/>
          <w:lang w:val="es-CO"/>
        </w:rPr>
        <w:t>dejar constancia del costo al que se refiere el presente numeral, cuando ello sea posible.</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2.3.3.2.</w:t>
      </w:r>
      <w:r w:rsidR="00F20E85" w:rsidRPr="00AC2ED0">
        <w:rPr>
          <w:rFonts w:cs="Arial"/>
          <w:szCs w:val="16"/>
          <w:lang w:val="es-CO"/>
        </w:rPr>
        <w:t>2</w:t>
      </w:r>
      <w:r w:rsidRPr="00AC2ED0">
        <w:rPr>
          <w:rFonts w:cs="Arial"/>
          <w:szCs w:val="16"/>
          <w:lang w:val="es-CO"/>
        </w:rPr>
        <w:t xml:space="preserve">. </w:t>
      </w:r>
      <w:r w:rsidR="00A67CA3" w:rsidRPr="00AC2ED0">
        <w:rPr>
          <w:rFonts w:cs="Arial"/>
          <w:szCs w:val="16"/>
          <w:lang w:val="es-CO"/>
        </w:rPr>
        <w:t>Velar porque los órganos de control, incluyan en sus informes la evaluación acerca del cumplimiento de los procedimientos, controles y seguridades, establecidos por la entidad y las normas vigentes, para la prestación de los servicios a los clientes y usuarios, a través de los diferentes canales de distribución.</w:t>
      </w:r>
    </w:p>
    <w:p w:rsidR="00650C68" w:rsidRPr="00AC2ED0" w:rsidRDefault="00650C68"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2.3.3.2.</w:t>
      </w:r>
      <w:r w:rsidR="00F20E85" w:rsidRPr="00AC2ED0">
        <w:rPr>
          <w:rFonts w:cs="Arial"/>
          <w:szCs w:val="16"/>
          <w:lang w:val="es-CO"/>
        </w:rPr>
        <w:t>3</w:t>
      </w:r>
      <w:r w:rsidRPr="00AC2ED0">
        <w:rPr>
          <w:rFonts w:cs="Arial"/>
          <w:szCs w:val="16"/>
          <w:lang w:val="es-CO"/>
        </w:rPr>
        <w:t xml:space="preserve">. </w:t>
      </w:r>
      <w:r w:rsidR="00A67CA3" w:rsidRPr="00AC2ED0">
        <w:rPr>
          <w:rFonts w:cs="Arial"/>
          <w:szCs w:val="16"/>
          <w:lang w:val="es-CO"/>
        </w:rPr>
        <w:t>Generar informes trimestrales sobre la disponibilidad y número de operaciones realizadas en</w:t>
      </w:r>
      <w:r w:rsidR="00E23FE0" w:rsidRPr="00AC2ED0">
        <w:rPr>
          <w:rFonts w:cs="Arial"/>
          <w:szCs w:val="16"/>
          <w:lang w:val="es-CO"/>
        </w:rPr>
        <w:t xml:space="preserve"> </w:t>
      </w:r>
      <w:r w:rsidR="00A67CA3" w:rsidRPr="00AC2ED0">
        <w:rPr>
          <w:rFonts w:cs="Arial"/>
          <w:szCs w:val="16"/>
          <w:lang w:val="es-CO"/>
        </w:rPr>
        <w:t>cada uno de los canales de distribución. Esta información debe ser conservada por un término de 2 años.</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2.3.3.2.</w:t>
      </w:r>
      <w:r w:rsidR="00F20E85" w:rsidRPr="00AC2ED0">
        <w:rPr>
          <w:rFonts w:cs="Arial"/>
          <w:szCs w:val="16"/>
          <w:lang w:val="es-CO"/>
        </w:rPr>
        <w:t>4</w:t>
      </w:r>
      <w:r w:rsidRPr="00AC2ED0">
        <w:rPr>
          <w:rFonts w:cs="Arial"/>
          <w:szCs w:val="16"/>
          <w:lang w:val="es-CO"/>
        </w:rPr>
        <w:t xml:space="preserve">. </w:t>
      </w:r>
      <w:r w:rsidR="00A67CA3" w:rsidRPr="00AC2ED0">
        <w:rPr>
          <w:rFonts w:cs="Arial"/>
          <w:szCs w:val="16"/>
          <w:lang w:val="es-CO"/>
        </w:rPr>
        <w:t>Cuando a través de los distintos canales se pidan y se realicen donaciones, se debe generar y entregar un soporte incluyendo el valor de la donación y el nombre del beneficiario.</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2.3.3.2.</w:t>
      </w:r>
      <w:r w:rsidR="00F20E85" w:rsidRPr="00AC2ED0">
        <w:rPr>
          <w:rFonts w:cs="Arial"/>
          <w:szCs w:val="16"/>
          <w:lang w:val="es-CO"/>
        </w:rPr>
        <w:t>5</w:t>
      </w:r>
      <w:r w:rsidRPr="00AC2ED0">
        <w:rPr>
          <w:rFonts w:cs="Arial"/>
          <w:szCs w:val="16"/>
          <w:lang w:val="es-CO"/>
        </w:rPr>
        <w:t xml:space="preserve">. </w:t>
      </w:r>
      <w:r w:rsidR="00A67CA3" w:rsidRPr="00AC2ED0">
        <w:rPr>
          <w:rFonts w:cs="Arial"/>
          <w:szCs w:val="16"/>
          <w:lang w:val="es-CO"/>
        </w:rPr>
        <w:t>Conservar todos los soportes y documentos donde se hayan establecido los compromisos, tanto de las entidades como de sus clientes y las condiciones bajo las cuales éstas prestan sus servicios. Se debe dejar evidencia documentada de que los clientes las han conocido y aceptado. Esta información debe ser c</w:t>
      </w:r>
      <w:r w:rsidR="00F562D4" w:rsidRPr="00AC2ED0">
        <w:rPr>
          <w:rFonts w:cs="Arial"/>
          <w:szCs w:val="16"/>
          <w:lang w:val="es-CO"/>
        </w:rPr>
        <w:t xml:space="preserve">onservada por lo menos por </w:t>
      </w:r>
      <w:r w:rsidR="00A67CA3" w:rsidRPr="00AC2ED0">
        <w:rPr>
          <w:rFonts w:cs="Arial"/>
          <w:szCs w:val="16"/>
          <w:lang w:val="es-CO"/>
        </w:rPr>
        <w:t>2 años, contados a partir de la fecha de terminación de la relación contractual o en caso de que la información sea objeto o soporte de una reclamación o queja, o cualquier proceso de tipo judicial, hasta el momento en que sea resuelto.</w:t>
      </w:r>
    </w:p>
    <w:p w:rsidR="00D16C8B" w:rsidRPr="00AC2ED0" w:rsidRDefault="00D16C8B" w:rsidP="002F241B">
      <w:pPr>
        <w:rPr>
          <w:rFonts w:cs="Arial"/>
          <w:szCs w:val="16"/>
          <w:lang w:val="es-CO"/>
        </w:rPr>
      </w:pPr>
    </w:p>
    <w:p w:rsidR="00F92DEE" w:rsidRPr="001411E8" w:rsidRDefault="00D16C8B" w:rsidP="002F241B">
      <w:pPr>
        <w:rPr>
          <w:lang w:val="es-CO"/>
        </w:rPr>
      </w:pPr>
      <w:r w:rsidRPr="00AC2ED0">
        <w:rPr>
          <w:rFonts w:cs="Arial"/>
          <w:szCs w:val="16"/>
          <w:lang w:val="es-CO"/>
        </w:rPr>
        <w:t>2.3.3.2.</w:t>
      </w:r>
      <w:r w:rsidR="00F20E85" w:rsidRPr="00AC2ED0">
        <w:rPr>
          <w:rFonts w:cs="Arial"/>
          <w:szCs w:val="16"/>
          <w:lang w:val="es-CO"/>
        </w:rPr>
        <w:t>6</w:t>
      </w:r>
      <w:r w:rsidRPr="00AC2ED0">
        <w:rPr>
          <w:rFonts w:cs="Arial"/>
          <w:szCs w:val="16"/>
          <w:lang w:val="es-CO"/>
        </w:rPr>
        <w:t xml:space="preserve">. </w:t>
      </w:r>
      <w:r w:rsidR="00A67CA3" w:rsidRPr="00AC2ED0">
        <w:rPr>
          <w:rFonts w:cs="Arial"/>
          <w:szCs w:val="16"/>
          <w:lang w:val="es-CO"/>
        </w:rPr>
        <w:t>Llevar un registro de las consultas realizadas por los funcionarios de la entidad sobre la información confidencial de los clientes, que contenga al menos lo siguiente: identificación del funcionario que reali</w:t>
      </w:r>
      <w:r w:rsidR="001411E8">
        <w:rPr>
          <w:rFonts w:cs="Arial"/>
          <w:szCs w:val="16"/>
          <w:lang w:val="es-CO"/>
        </w:rPr>
        <w:t>zó la consulta, canal utilizado</w:t>
      </w:r>
    </w:p>
    <w:sectPr w:rsidR="00F92DEE" w:rsidRPr="001411E8" w:rsidSect="00F637C8">
      <w:headerReference w:type="default" r:id="rId9"/>
      <w:footerReference w:type="default" r:id="rId10"/>
      <w:pgSz w:w="12240" w:h="18720" w:code="14"/>
      <w:pgMar w:top="1418" w:right="1701" w:bottom="1418" w:left="1701" w:header="1134" w:footer="1134"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866" w:rsidRDefault="00687866">
      <w:r>
        <w:separator/>
      </w:r>
    </w:p>
  </w:endnote>
  <w:endnote w:type="continuationSeparator" w:id="0">
    <w:p w:rsidR="00687866" w:rsidRDefault="0068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452" w:rsidRDefault="004E6452" w:rsidP="00D918B1">
    <w:pPr>
      <w:pStyle w:val="Piedepgina"/>
      <w:ind w:right="360"/>
      <w:rPr>
        <w:rFonts w:cs="Arial"/>
        <w:b/>
        <w:spacing w:val="20"/>
        <w:sz w:val="18"/>
        <w:szCs w:val="18"/>
      </w:rPr>
    </w:pPr>
  </w:p>
  <w:p w:rsidR="004E6452" w:rsidRDefault="004E6452" w:rsidP="00D918B1">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r>
    <w:r w:rsidRPr="000E2384">
      <w:rPr>
        <w:rFonts w:cs="Arial"/>
        <w:b/>
        <w:spacing w:val="20"/>
        <w:sz w:val="18"/>
        <w:szCs w:val="18"/>
      </w:rPr>
      <w:t xml:space="preserve">PÁGINA </w:t>
    </w:r>
    <w:r>
      <w:rPr>
        <w:rFonts w:cs="Arial"/>
        <w:b/>
        <w:spacing w:val="20"/>
        <w:sz w:val="18"/>
        <w:szCs w:val="18"/>
      </w:rPr>
      <w:t>10</w:t>
    </w:r>
  </w:p>
  <w:p w:rsidR="004E6452" w:rsidRPr="00467E8D" w:rsidRDefault="004E6452" w:rsidP="005C4239">
    <w:pPr>
      <w:pStyle w:val="Piedepgina"/>
      <w:tabs>
        <w:tab w:val="right" w:pos="8760"/>
      </w:tabs>
      <w:ind w:right="360"/>
      <w:rPr>
        <w:rFonts w:cs="Arial"/>
        <w:b/>
        <w:sz w:val="18"/>
        <w:szCs w:val="18"/>
      </w:rPr>
    </w:pPr>
    <w:r w:rsidRPr="00CB2905">
      <w:rPr>
        <w:rFonts w:cs="Arial"/>
        <w:b/>
        <w:sz w:val="18"/>
        <w:szCs w:val="18"/>
      </w:rPr>
      <w:t xml:space="preserve">Circular Externa </w:t>
    </w:r>
    <w:r w:rsidR="00A75B57">
      <w:rPr>
        <w:rFonts w:cs="Arial"/>
        <w:b/>
        <w:sz w:val="18"/>
        <w:szCs w:val="18"/>
      </w:rPr>
      <w:t>053</w:t>
    </w:r>
    <w:r>
      <w:rPr>
        <w:rFonts w:cs="Arial"/>
        <w:b/>
        <w:sz w:val="18"/>
        <w:szCs w:val="18"/>
      </w:rPr>
      <w:t xml:space="preserve"> </w:t>
    </w:r>
    <w:r w:rsidR="00895DD8">
      <w:rPr>
        <w:rFonts w:cs="Arial"/>
        <w:b/>
        <w:sz w:val="18"/>
        <w:szCs w:val="18"/>
      </w:rPr>
      <w:t xml:space="preserve"> </w:t>
    </w:r>
    <w:r w:rsidRPr="00CB2905">
      <w:rPr>
        <w:rFonts w:cs="Arial"/>
        <w:b/>
        <w:sz w:val="18"/>
        <w:szCs w:val="18"/>
      </w:rPr>
      <w:t>de 201</w:t>
    </w:r>
    <w:r>
      <w:rPr>
        <w:rFonts w:cs="Arial"/>
        <w:b/>
        <w:sz w:val="18"/>
        <w:szCs w:val="18"/>
      </w:rPr>
      <w:t>6</w:t>
    </w:r>
    <w:r>
      <w:rPr>
        <w:rFonts w:cs="Arial"/>
        <w:b/>
        <w:sz w:val="18"/>
        <w:szCs w:val="18"/>
      </w:rPr>
      <w:tab/>
    </w:r>
    <w:r>
      <w:rPr>
        <w:rFonts w:cs="Arial"/>
        <w:b/>
        <w:sz w:val="18"/>
        <w:szCs w:val="18"/>
      </w:rPr>
      <w:tab/>
    </w:r>
    <w:r w:rsidRPr="00CB2905">
      <w:rPr>
        <w:rFonts w:cs="Arial"/>
        <w:b/>
        <w:sz w:val="18"/>
        <w:szCs w:val="18"/>
      </w:rPr>
      <w:t xml:space="preserve"> </w:t>
    </w:r>
    <w:r>
      <w:rPr>
        <w:rFonts w:cs="Arial"/>
        <w:b/>
        <w:sz w:val="18"/>
        <w:szCs w:val="18"/>
      </w:rPr>
      <w:t>Diciembre de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866" w:rsidRDefault="00687866">
      <w:r>
        <w:separator/>
      </w:r>
    </w:p>
  </w:footnote>
  <w:footnote w:type="continuationSeparator" w:id="0">
    <w:p w:rsidR="00687866" w:rsidRDefault="00687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1E8" w:rsidRPr="001411E8" w:rsidRDefault="001411E8" w:rsidP="001411E8">
    <w:pPr>
      <w:tabs>
        <w:tab w:val="center" w:pos="4419"/>
        <w:tab w:val="right" w:pos="8838"/>
      </w:tabs>
      <w:jc w:val="center"/>
      <w:rPr>
        <w:rFonts w:eastAsia="Times New Roman" w:cs="Arial"/>
        <w:b/>
        <w:sz w:val="24"/>
        <w:szCs w:val="24"/>
        <w:lang w:val="es-CO"/>
      </w:rPr>
    </w:pPr>
    <w:r w:rsidRPr="001411E8">
      <w:rPr>
        <w:rFonts w:eastAsia="Times New Roman" w:cs="Arial"/>
        <w:b/>
        <w:sz w:val="24"/>
        <w:szCs w:val="24"/>
        <w:lang w:val="es-CO"/>
      </w:rPr>
      <w:t>SUPERINTENDENCIA FINANCIERA DE COLOMBIA</w:t>
    </w:r>
  </w:p>
  <w:p w:rsidR="001411E8" w:rsidRDefault="001411E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7"/>
  </w:num>
  <w:num w:numId="3">
    <w:abstractNumId w:val="31"/>
  </w:num>
  <w:num w:numId="4">
    <w:abstractNumId w:val="28"/>
  </w:num>
  <w:num w:numId="5">
    <w:abstractNumId w:val="22"/>
  </w:num>
  <w:num w:numId="6">
    <w:abstractNumId w:val="10"/>
  </w:num>
  <w:num w:numId="7">
    <w:abstractNumId w:val="9"/>
  </w:num>
  <w:num w:numId="8">
    <w:abstractNumId w:val="44"/>
  </w:num>
  <w:num w:numId="9">
    <w:abstractNumId w:val="45"/>
  </w:num>
  <w:num w:numId="10">
    <w:abstractNumId w:val="3"/>
  </w:num>
  <w:num w:numId="11">
    <w:abstractNumId w:val="47"/>
  </w:num>
  <w:num w:numId="12">
    <w:abstractNumId w:val="48"/>
  </w:num>
  <w:num w:numId="13">
    <w:abstractNumId w:val="8"/>
  </w:num>
  <w:num w:numId="14">
    <w:abstractNumId w:val="40"/>
  </w:num>
  <w:num w:numId="15">
    <w:abstractNumId w:val="25"/>
  </w:num>
  <w:num w:numId="16">
    <w:abstractNumId w:val="14"/>
  </w:num>
  <w:num w:numId="17">
    <w:abstractNumId w:val="29"/>
  </w:num>
  <w:num w:numId="18">
    <w:abstractNumId w:val="23"/>
  </w:num>
  <w:num w:numId="19">
    <w:abstractNumId w:val="1"/>
  </w:num>
  <w:num w:numId="20">
    <w:abstractNumId w:val="24"/>
  </w:num>
  <w:num w:numId="21">
    <w:abstractNumId w:val="21"/>
  </w:num>
  <w:num w:numId="22">
    <w:abstractNumId w:val="42"/>
  </w:num>
  <w:num w:numId="23">
    <w:abstractNumId w:val="43"/>
  </w:num>
  <w:num w:numId="24">
    <w:abstractNumId w:val="19"/>
  </w:num>
  <w:num w:numId="25">
    <w:abstractNumId w:val="30"/>
  </w:num>
  <w:num w:numId="26">
    <w:abstractNumId w:val="36"/>
  </w:num>
  <w:num w:numId="27">
    <w:abstractNumId w:val="26"/>
  </w:num>
  <w:num w:numId="28">
    <w:abstractNumId w:val="34"/>
  </w:num>
  <w:num w:numId="29">
    <w:abstractNumId w:val="46"/>
  </w:num>
  <w:num w:numId="30">
    <w:abstractNumId w:val="33"/>
  </w:num>
  <w:num w:numId="31">
    <w:abstractNumId w:val="16"/>
  </w:num>
  <w:num w:numId="32">
    <w:abstractNumId w:val="0"/>
  </w:num>
  <w:num w:numId="33">
    <w:abstractNumId w:val="7"/>
  </w:num>
  <w:num w:numId="34">
    <w:abstractNumId w:val="5"/>
  </w:num>
  <w:num w:numId="35">
    <w:abstractNumId w:val="39"/>
  </w:num>
  <w:num w:numId="36">
    <w:abstractNumId w:val="41"/>
  </w:num>
  <w:num w:numId="37">
    <w:abstractNumId w:val="15"/>
  </w:num>
  <w:num w:numId="38">
    <w:abstractNumId w:val="38"/>
  </w:num>
  <w:num w:numId="39">
    <w:abstractNumId w:val="6"/>
  </w:num>
  <w:num w:numId="40">
    <w:abstractNumId w:val="2"/>
  </w:num>
  <w:num w:numId="41">
    <w:abstractNumId w:val="32"/>
  </w:num>
  <w:num w:numId="42">
    <w:abstractNumId w:val="11"/>
  </w:num>
  <w:num w:numId="43">
    <w:abstractNumId w:val="4"/>
  </w:num>
  <w:num w:numId="44">
    <w:abstractNumId w:val="20"/>
  </w:num>
  <w:num w:numId="45">
    <w:abstractNumId w:val="35"/>
  </w:num>
  <w:num w:numId="46">
    <w:abstractNumId w:val="17"/>
  </w:num>
  <w:num w:numId="47">
    <w:abstractNumId w:val="13"/>
  </w:num>
  <w:num w:numId="48">
    <w:abstractNumId w:val="18"/>
  </w:num>
  <w:num w:numId="4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22"/>
    <w:rsid w:val="00000DA7"/>
    <w:rsid w:val="000019C0"/>
    <w:rsid w:val="00006332"/>
    <w:rsid w:val="00007675"/>
    <w:rsid w:val="00013473"/>
    <w:rsid w:val="00014357"/>
    <w:rsid w:val="00016C1C"/>
    <w:rsid w:val="000305E4"/>
    <w:rsid w:val="00031177"/>
    <w:rsid w:val="0003565D"/>
    <w:rsid w:val="00040D02"/>
    <w:rsid w:val="0005281C"/>
    <w:rsid w:val="00052D22"/>
    <w:rsid w:val="00054403"/>
    <w:rsid w:val="00056557"/>
    <w:rsid w:val="00060F6F"/>
    <w:rsid w:val="00061898"/>
    <w:rsid w:val="00062B33"/>
    <w:rsid w:val="0007036E"/>
    <w:rsid w:val="00073257"/>
    <w:rsid w:val="00074DF3"/>
    <w:rsid w:val="000778C3"/>
    <w:rsid w:val="00083A2E"/>
    <w:rsid w:val="00087D88"/>
    <w:rsid w:val="0009545F"/>
    <w:rsid w:val="000A2F68"/>
    <w:rsid w:val="000B0B2A"/>
    <w:rsid w:val="000B2B94"/>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4E75"/>
    <w:rsid w:val="001116E6"/>
    <w:rsid w:val="00113AE7"/>
    <w:rsid w:val="00114742"/>
    <w:rsid w:val="00120BD4"/>
    <w:rsid w:val="00121363"/>
    <w:rsid w:val="001213B5"/>
    <w:rsid w:val="001247F5"/>
    <w:rsid w:val="00126CFB"/>
    <w:rsid w:val="00134491"/>
    <w:rsid w:val="001411E8"/>
    <w:rsid w:val="001432CD"/>
    <w:rsid w:val="00146AB2"/>
    <w:rsid w:val="001506A8"/>
    <w:rsid w:val="0015099E"/>
    <w:rsid w:val="00155A76"/>
    <w:rsid w:val="00155C2B"/>
    <w:rsid w:val="001606BD"/>
    <w:rsid w:val="001707E0"/>
    <w:rsid w:val="001723E4"/>
    <w:rsid w:val="00173E8B"/>
    <w:rsid w:val="00176C59"/>
    <w:rsid w:val="00181776"/>
    <w:rsid w:val="00186D0A"/>
    <w:rsid w:val="00191661"/>
    <w:rsid w:val="001930C3"/>
    <w:rsid w:val="00194B5B"/>
    <w:rsid w:val="00195B75"/>
    <w:rsid w:val="0019781F"/>
    <w:rsid w:val="001979AD"/>
    <w:rsid w:val="001B526A"/>
    <w:rsid w:val="001C7B7E"/>
    <w:rsid w:val="001D4A0D"/>
    <w:rsid w:val="001D7E20"/>
    <w:rsid w:val="001E00B7"/>
    <w:rsid w:val="001E7184"/>
    <w:rsid w:val="001F7C4D"/>
    <w:rsid w:val="002054DC"/>
    <w:rsid w:val="00206D42"/>
    <w:rsid w:val="00212816"/>
    <w:rsid w:val="002134DF"/>
    <w:rsid w:val="0021366D"/>
    <w:rsid w:val="00230C41"/>
    <w:rsid w:val="00232D24"/>
    <w:rsid w:val="00237670"/>
    <w:rsid w:val="00245F6A"/>
    <w:rsid w:val="002464FF"/>
    <w:rsid w:val="002466E6"/>
    <w:rsid w:val="00263265"/>
    <w:rsid w:val="00265726"/>
    <w:rsid w:val="00267D92"/>
    <w:rsid w:val="002707A3"/>
    <w:rsid w:val="00272036"/>
    <w:rsid w:val="0027222B"/>
    <w:rsid w:val="00273F2D"/>
    <w:rsid w:val="002820FD"/>
    <w:rsid w:val="0028279A"/>
    <w:rsid w:val="00283FBB"/>
    <w:rsid w:val="00285A58"/>
    <w:rsid w:val="002912F3"/>
    <w:rsid w:val="002917FD"/>
    <w:rsid w:val="00295791"/>
    <w:rsid w:val="002965B8"/>
    <w:rsid w:val="002B44F7"/>
    <w:rsid w:val="002B5B43"/>
    <w:rsid w:val="002D43E7"/>
    <w:rsid w:val="002E4935"/>
    <w:rsid w:val="002E72F9"/>
    <w:rsid w:val="002F241B"/>
    <w:rsid w:val="002F577E"/>
    <w:rsid w:val="00304412"/>
    <w:rsid w:val="00306485"/>
    <w:rsid w:val="003114E4"/>
    <w:rsid w:val="003115C5"/>
    <w:rsid w:val="00312E5E"/>
    <w:rsid w:val="00317DF5"/>
    <w:rsid w:val="0032115C"/>
    <w:rsid w:val="003237D8"/>
    <w:rsid w:val="00324C54"/>
    <w:rsid w:val="00327F87"/>
    <w:rsid w:val="003317F4"/>
    <w:rsid w:val="0033613F"/>
    <w:rsid w:val="00342400"/>
    <w:rsid w:val="00342DB6"/>
    <w:rsid w:val="0034697D"/>
    <w:rsid w:val="00352076"/>
    <w:rsid w:val="00354C54"/>
    <w:rsid w:val="00355B5D"/>
    <w:rsid w:val="0035776E"/>
    <w:rsid w:val="00361EF9"/>
    <w:rsid w:val="003627C5"/>
    <w:rsid w:val="00362CE8"/>
    <w:rsid w:val="0036348B"/>
    <w:rsid w:val="00371ADF"/>
    <w:rsid w:val="00372416"/>
    <w:rsid w:val="003730E8"/>
    <w:rsid w:val="00374959"/>
    <w:rsid w:val="00377B4F"/>
    <w:rsid w:val="00387CF1"/>
    <w:rsid w:val="00391CFB"/>
    <w:rsid w:val="0039683C"/>
    <w:rsid w:val="0039798A"/>
    <w:rsid w:val="003A1AC2"/>
    <w:rsid w:val="003A4864"/>
    <w:rsid w:val="003A64FE"/>
    <w:rsid w:val="003B094E"/>
    <w:rsid w:val="003B2FE6"/>
    <w:rsid w:val="003B678C"/>
    <w:rsid w:val="003B6AA8"/>
    <w:rsid w:val="003C2E2E"/>
    <w:rsid w:val="003C512C"/>
    <w:rsid w:val="003C5B92"/>
    <w:rsid w:val="003C6015"/>
    <w:rsid w:val="003C7935"/>
    <w:rsid w:val="003D5CC4"/>
    <w:rsid w:val="003E04FC"/>
    <w:rsid w:val="003E2A0A"/>
    <w:rsid w:val="003F188E"/>
    <w:rsid w:val="003F5366"/>
    <w:rsid w:val="003F6715"/>
    <w:rsid w:val="004009C2"/>
    <w:rsid w:val="00403762"/>
    <w:rsid w:val="0040423D"/>
    <w:rsid w:val="0041488E"/>
    <w:rsid w:val="00421CA5"/>
    <w:rsid w:val="0042473F"/>
    <w:rsid w:val="0042781E"/>
    <w:rsid w:val="00427D82"/>
    <w:rsid w:val="00431EA3"/>
    <w:rsid w:val="004373C7"/>
    <w:rsid w:val="00442CB0"/>
    <w:rsid w:val="00443048"/>
    <w:rsid w:val="0044726D"/>
    <w:rsid w:val="004500C8"/>
    <w:rsid w:val="00454F8A"/>
    <w:rsid w:val="00455CEA"/>
    <w:rsid w:val="00460DC3"/>
    <w:rsid w:val="00462950"/>
    <w:rsid w:val="00470100"/>
    <w:rsid w:val="00486D48"/>
    <w:rsid w:val="0048703B"/>
    <w:rsid w:val="00492E72"/>
    <w:rsid w:val="004A03BD"/>
    <w:rsid w:val="004A659A"/>
    <w:rsid w:val="004B4F8D"/>
    <w:rsid w:val="004B5CC2"/>
    <w:rsid w:val="004C14AE"/>
    <w:rsid w:val="004C5761"/>
    <w:rsid w:val="004C6CE1"/>
    <w:rsid w:val="004C7534"/>
    <w:rsid w:val="004D549A"/>
    <w:rsid w:val="004D7C98"/>
    <w:rsid w:val="004E6452"/>
    <w:rsid w:val="004F2D97"/>
    <w:rsid w:val="004F612E"/>
    <w:rsid w:val="004F6673"/>
    <w:rsid w:val="004F667E"/>
    <w:rsid w:val="005015B1"/>
    <w:rsid w:val="00506543"/>
    <w:rsid w:val="005105DB"/>
    <w:rsid w:val="00522A3F"/>
    <w:rsid w:val="005239FB"/>
    <w:rsid w:val="00543266"/>
    <w:rsid w:val="005436C3"/>
    <w:rsid w:val="005442C4"/>
    <w:rsid w:val="00550E81"/>
    <w:rsid w:val="0056210B"/>
    <w:rsid w:val="005629D5"/>
    <w:rsid w:val="00562BFB"/>
    <w:rsid w:val="0056437E"/>
    <w:rsid w:val="00564846"/>
    <w:rsid w:val="00565F96"/>
    <w:rsid w:val="00574669"/>
    <w:rsid w:val="005804BB"/>
    <w:rsid w:val="005825B8"/>
    <w:rsid w:val="0058666B"/>
    <w:rsid w:val="005B0CEA"/>
    <w:rsid w:val="005C19EF"/>
    <w:rsid w:val="005C33B3"/>
    <w:rsid w:val="005C4239"/>
    <w:rsid w:val="005C4A1B"/>
    <w:rsid w:val="005D03FF"/>
    <w:rsid w:val="005D1433"/>
    <w:rsid w:val="005D2347"/>
    <w:rsid w:val="005E477A"/>
    <w:rsid w:val="005F35C9"/>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50C68"/>
    <w:rsid w:val="0065441B"/>
    <w:rsid w:val="00657569"/>
    <w:rsid w:val="00667150"/>
    <w:rsid w:val="00672083"/>
    <w:rsid w:val="00674D4A"/>
    <w:rsid w:val="006758F3"/>
    <w:rsid w:val="006768FE"/>
    <w:rsid w:val="00687866"/>
    <w:rsid w:val="00692000"/>
    <w:rsid w:val="006A207B"/>
    <w:rsid w:val="006A33CF"/>
    <w:rsid w:val="006A64D5"/>
    <w:rsid w:val="006B3B85"/>
    <w:rsid w:val="006B5141"/>
    <w:rsid w:val="006C150E"/>
    <w:rsid w:val="006C6F10"/>
    <w:rsid w:val="006D2853"/>
    <w:rsid w:val="006D3737"/>
    <w:rsid w:val="006D598B"/>
    <w:rsid w:val="006D64BA"/>
    <w:rsid w:val="006E053A"/>
    <w:rsid w:val="006E05B3"/>
    <w:rsid w:val="006E0B12"/>
    <w:rsid w:val="006F0DB7"/>
    <w:rsid w:val="00706E5F"/>
    <w:rsid w:val="00707357"/>
    <w:rsid w:val="00710D49"/>
    <w:rsid w:val="007142A1"/>
    <w:rsid w:val="007256D4"/>
    <w:rsid w:val="00731BAE"/>
    <w:rsid w:val="007349EE"/>
    <w:rsid w:val="00737F1F"/>
    <w:rsid w:val="007437A2"/>
    <w:rsid w:val="007500D3"/>
    <w:rsid w:val="00753DFD"/>
    <w:rsid w:val="00760C49"/>
    <w:rsid w:val="007658F6"/>
    <w:rsid w:val="00770415"/>
    <w:rsid w:val="007774AC"/>
    <w:rsid w:val="00781642"/>
    <w:rsid w:val="00795CD7"/>
    <w:rsid w:val="007A3A42"/>
    <w:rsid w:val="007A6EB8"/>
    <w:rsid w:val="007B36C6"/>
    <w:rsid w:val="007D2ED4"/>
    <w:rsid w:val="007E04B0"/>
    <w:rsid w:val="007E123B"/>
    <w:rsid w:val="007E162C"/>
    <w:rsid w:val="007E1D63"/>
    <w:rsid w:val="007E3115"/>
    <w:rsid w:val="007E40E3"/>
    <w:rsid w:val="007E6C9C"/>
    <w:rsid w:val="007F138C"/>
    <w:rsid w:val="007F301B"/>
    <w:rsid w:val="007F3102"/>
    <w:rsid w:val="007F437B"/>
    <w:rsid w:val="007F7A43"/>
    <w:rsid w:val="008035FA"/>
    <w:rsid w:val="00804F52"/>
    <w:rsid w:val="0081258F"/>
    <w:rsid w:val="00812A9B"/>
    <w:rsid w:val="008139A3"/>
    <w:rsid w:val="00824127"/>
    <w:rsid w:val="0082464E"/>
    <w:rsid w:val="00825566"/>
    <w:rsid w:val="00831546"/>
    <w:rsid w:val="00846556"/>
    <w:rsid w:val="008521A2"/>
    <w:rsid w:val="00854F4E"/>
    <w:rsid w:val="00856B69"/>
    <w:rsid w:val="008657FC"/>
    <w:rsid w:val="00866C36"/>
    <w:rsid w:val="00874F3F"/>
    <w:rsid w:val="00875DF1"/>
    <w:rsid w:val="0088119B"/>
    <w:rsid w:val="008822BC"/>
    <w:rsid w:val="00895DD8"/>
    <w:rsid w:val="008A27FB"/>
    <w:rsid w:val="008A374A"/>
    <w:rsid w:val="008B6707"/>
    <w:rsid w:val="008B785D"/>
    <w:rsid w:val="008C33A1"/>
    <w:rsid w:val="008E3A7F"/>
    <w:rsid w:val="008E5FF7"/>
    <w:rsid w:val="008F0C32"/>
    <w:rsid w:val="008F5DAE"/>
    <w:rsid w:val="00903F9B"/>
    <w:rsid w:val="0090534D"/>
    <w:rsid w:val="009111D1"/>
    <w:rsid w:val="00916623"/>
    <w:rsid w:val="00917603"/>
    <w:rsid w:val="00931FC9"/>
    <w:rsid w:val="009418C1"/>
    <w:rsid w:val="009649D5"/>
    <w:rsid w:val="00967A30"/>
    <w:rsid w:val="0098518D"/>
    <w:rsid w:val="00985E78"/>
    <w:rsid w:val="00996CD1"/>
    <w:rsid w:val="009A164D"/>
    <w:rsid w:val="009A5912"/>
    <w:rsid w:val="009A5B6C"/>
    <w:rsid w:val="009B10CA"/>
    <w:rsid w:val="009B13C4"/>
    <w:rsid w:val="009B7AE5"/>
    <w:rsid w:val="009C3363"/>
    <w:rsid w:val="009D022F"/>
    <w:rsid w:val="009D0E8E"/>
    <w:rsid w:val="009D6354"/>
    <w:rsid w:val="009E08C9"/>
    <w:rsid w:val="009E5AEF"/>
    <w:rsid w:val="009E75D9"/>
    <w:rsid w:val="009F322C"/>
    <w:rsid w:val="009F3290"/>
    <w:rsid w:val="009F68E0"/>
    <w:rsid w:val="00A02ED1"/>
    <w:rsid w:val="00A12DF4"/>
    <w:rsid w:val="00A174FD"/>
    <w:rsid w:val="00A22E7A"/>
    <w:rsid w:val="00A336D8"/>
    <w:rsid w:val="00A33E34"/>
    <w:rsid w:val="00A36146"/>
    <w:rsid w:val="00A375CA"/>
    <w:rsid w:val="00A379F8"/>
    <w:rsid w:val="00A4184C"/>
    <w:rsid w:val="00A420B4"/>
    <w:rsid w:val="00A42978"/>
    <w:rsid w:val="00A46492"/>
    <w:rsid w:val="00A47047"/>
    <w:rsid w:val="00A649B3"/>
    <w:rsid w:val="00A65D61"/>
    <w:rsid w:val="00A67CA3"/>
    <w:rsid w:val="00A72C66"/>
    <w:rsid w:val="00A75B57"/>
    <w:rsid w:val="00A80019"/>
    <w:rsid w:val="00A800CE"/>
    <w:rsid w:val="00A811B2"/>
    <w:rsid w:val="00A83D51"/>
    <w:rsid w:val="00AA0DCD"/>
    <w:rsid w:val="00AA3431"/>
    <w:rsid w:val="00AA3633"/>
    <w:rsid w:val="00AA6A32"/>
    <w:rsid w:val="00AA7381"/>
    <w:rsid w:val="00AB0090"/>
    <w:rsid w:val="00AB1122"/>
    <w:rsid w:val="00AB2338"/>
    <w:rsid w:val="00AB528F"/>
    <w:rsid w:val="00AC2ED0"/>
    <w:rsid w:val="00AD3E9F"/>
    <w:rsid w:val="00AD75F0"/>
    <w:rsid w:val="00AE13A1"/>
    <w:rsid w:val="00AE409F"/>
    <w:rsid w:val="00AE4733"/>
    <w:rsid w:val="00AE68EC"/>
    <w:rsid w:val="00AE7B15"/>
    <w:rsid w:val="00AF78C5"/>
    <w:rsid w:val="00B06049"/>
    <w:rsid w:val="00B21904"/>
    <w:rsid w:val="00B34083"/>
    <w:rsid w:val="00B3535E"/>
    <w:rsid w:val="00B35672"/>
    <w:rsid w:val="00B418DF"/>
    <w:rsid w:val="00B47E5E"/>
    <w:rsid w:val="00B53CE6"/>
    <w:rsid w:val="00B67793"/>
    <w:rsid w:val="00B70802"/>
    <w:rsid w:val="00B70B23"/>
    <w:rsid w:val="00B72FD5"/>
    <w:rsid w:val="00B76E13"/>
    <w:rsid w:val="00B800B0"/>
    <w:rsid w:val="00B8713E"/>
    <w:rsid w:val="00B94114"/>
    <w:rsid w:val="00B959C8"/>
    <w:rsid w:val="00B9797E"/>
    <w:rsid w:val="00BA1140"/>
    <w:rsid w:val="00BC32F2"/>
    <w:rsid w:val="00BC4A05"/>
    <w:rsid w:val="00BC5EF4"/>
    <w:rsid w:val="00BC664C"/>
    <w:rsid w:val="00BE29F7"/>
    <w:rsid w:val="00BE4519"/>
    <w:rsid w:val="00BE5217"/>
    <w:rsid w:val="00BF126E"/>
    <w:rsid w:val="00C00B5E"/>
    <w:rsid w:val="00C00FFF"/>
    <w:rsid w:val="00C011F8"/>
    <w:rsid w:val="00C10FB9"/>
    <w:rsid w:val="00C14A2F"/>
    <w:rsid w:val="00C21747"/>
    <w:rsid w:val="00C22BAA"/>
    <w:rsid w:val="00C26B2A"/>
    <w:rsid w:val="00C31CC7"/>
    <w:rsid w:val="00C37AB4"/>
    <w:rsid w:val="00C406A1"/>
    <w:rsid w:val="00C56FFA"/>
    <w:rsid w:val="00C57B24"/>
    <w:rsid w:val="00C601D1"/>
    <w:rsid w:val="00C62804"/>
    <w:rsid w:val="00C645C2"/>
    <w:rsid w:val="00C66801"/>
    <w:rsid w:val="00C7397A"/>
    <w:rsid w:val="00C75915"/>
    <w:rsid w:val="00C76715"/>
    <w:rsid w:val="00C76B54"/>
    <w:rsid w:val="00C81137"/>
    <w:rsid w:val="00C8243A"/>
    <w:rsid w:val="00C8532E"/>
    <w:rsid w:val="00C91B0C"/>
    <w:rsid w:val="00CA15A9"/>
    <w:rsid w:val="00CA390C"/>
    <w:rsid w:val="00CA5925"/>
    <w:rsid w:val="00CA5CE0"/>
    <w:rsid w:val="00CC1F5D"/>
    <w:rsid w:val="00CD074C"/>
    <w:rsid w:val="00CD3152"/>
    <w:rsid w:val="00CF2078"/>
    <w:rsid w:val="00CF25B5"/>
    <w:rsid w:val="00CF50D3"/>
    <w:rsid w:val="00CF50DD"/>
    <w:rsid w:val="00D0488F"/>
    <w:rsid w:val="00D065F1"/>
    <w:rsid w:val="00D068CE"/>
    <w:rsid w:val="00D16AC0"/>
    <w:rsid w:val="00D16C8B"/>
    <w:rsid w:val="00D22D05"/>
    <w:rsid w:val="00D30A22"/>
    <w:rsid w:val="00D33490"/>
    <w:rsid w:val="00D34552"/>
    <w:rsid w:val="00D36A1D"/>
    <w:rsid w:val="00D37ECA"/>
    <w:rsid w:val="00D4304F"/>
    <w:rsid w:val="00D458DC"/>
    <w:rsid w:val="00D469A9"/>
    <w:rsid w:val="00D54EDD"/>
    <w:rsid w:val="00D560F1"/>
    <w:rsid w:val="00D62B02"/>
    <w:rsid w:val="00D72EB9"/>
    <w:rsid w:val="00D762FE"/>
    <w:rsid w:val="00D85A2F"/>
    <w:rsid w:val="00D90437"/>
    <w:rsid w:val="00D918B1"/>
    <w:rsid w:val="00D92F77"/>
    <w:rsid w:val="00D93AE1"/>
    <w:rsid w:val="00D9695F"/>
    <w:rsid w:val="00DA15FD"/>
    <w:rsid w:val="00DB097D"/>
    <w:rsid w:val="00DB46CE"/>
    <w:rsid w:val="00DC1B25"/>
    <w:rsid w:val="00DC57F6"/>
    <w:rsid w:val="00DC6848"/>
    <w:rsid w:val="00DD5024"/>
    <w:rsid w:val="00DD5425"/>
    <w:rsid w:val="00DF1570"/>
    <w:rsid w:val="00DF4A5A"/>
    <w:rsid w:val="00DF6F4F"/>
    <w:rsid w:val="00E045F0"/>
    <w:rsid w:val="00E15818"/>
    <w:rsid w:val="00E205EE"/>
    <w:rsid w:val="00E23FE0"/>
    <w:rsid w:val="00E25427"/>
    <w:rsid w:val="00E315C8"/>
    <w:rsid w:val="00E324E4"/>
    <w:rsid w:val="00E6031E"/>
    <w:rsid w:val="00E60C63"/>
    <w:rsid w:val="00E62A89"/>
    <w:rsid w:val="00E70CFA"/>
    <w:rsid w:val="00E754D0"/>
    <w:rsid w:val="00E75C4F"/>
    <w:rsid w:val="00E85782"/>
    <w:rsid w:val="00E87338"/>
    <w:rsid w:val="00E87E88"/>
    <w:rsid w:val="00E93902"/>
    <w:rsid w:val="00E948FC"/>
    <w:rsid w:val="00EA67AA"/>
    <w:rsid w:val="00EA67B8"/>
    <w:rsid w:val="00EA7E82"/>
    <w:rsid w:val="00EB7F00"/>
    <w:rsid w:val="00EC2A9F"/>
    <w:rsid w:val="00EC66E8"/>
    <w:rsid w:val="00ED2666"/>
    <w:rsid w:val="00ED6F39"/>
    <w:rsid w:val="00EE06CC"/>
    <w:rsid w:val="00EE0E9D"/>
    <w:rsid w:val="00EE18FB"/>
    <w:rsid w:val="00EE3CBA"/>
    <w:rsid w:val="00EE546B"/>
    <w:rsid w:val="00EE623D"/>
    <w:rsid w:val="00EF4053"/>
    <w:rsid w:val="00EF4A9A"/>
    <w:rsid w:val="00EF5F78"/>
    <w:rsid w:val="00F00C53"/>
    <w:rsid w:val="00F07DF3"/>
    <w:rsid w:val="00F153F3"/>
    <w:rsid w:val="00F20E85"/>
    <w:rsid w:val="00F25587"/>
    <w:rsid w:val="00F27AB9"/>
    <w:rsid w:val="00F303A8"/>
    <w:rsid w:val="00F305A5"/>
    <w:rsid w:val="00F308AE"/>
    <w:rsid w:val="00F312F8"/>
    <w:rsid w:val="00F330BC"/>
    <w:rsid w:val="00F34A8D"/>
    <w:rsid w:val="00F41C1E"/>
    <w:rsid w:val="00F41E12"/>
    <w:rsid w:val="00F435E8"/>
    <w:rsid w:val="00F43E2F"/>
    <w:rsid w:val="00F53F63"/>
    <w:rsid w:val="00F562D4"/>
    <w:rsid w:val="00F637C8"/>
    <w:rsid w:val="00F67BD7"/>
    <w:rsid w:val="00F706E1"/>
    <w:rsid w:val="00F73246"/>
    <w:rsid w:val="00F766F5"/>
    <w:rsid w:val="00F85E02"/>
    <w:rsid w:val="00F9043B"/>
    <w:rsid w:val="00F92517"/>
    <w:rsid w:val="00F92925"/>
    <w:rsid w:val="00F92DEE"/>
    <w:rsid w:val="00F94C18"/>
    <w:rsid w:val="00F95F3E"/>
    <w:rsid w:val="00FA4A45"/>
    <w:rsid w:val="00FA662C"/>
    <w:rsid w:val="00FB18C0"/>
    <w:rsid w:val="00FB3C36"/>
    <w:rsid w:val="00FB673F"/>
    <w:rsid w:val="00FC2A21"/>
    <w:rsid w:val="00FC610F"/>
    <w:rsid w:val="00FD6004"/>
    <w:rsid w:val="00FE170B"/>
    <w:rsid w:val="00FE2E49"/>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Gothic" w:hAnsi="Calibri"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Epgrafe">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paragraph" w:styleId="Textonotaalfinal">
    <w:name w:val="endnote text"/>
    <w:basedOn w:val="Normal"/>
    <w:link w:val="TextonotaalfinalCar"/>
    <w:semiHidden/>
    <w:unhideWhenUsed/>
    <w:rsid w:val="00F92DEE"/>
    <w:rPr>
      <w:sz w:val="20"/>
      <w:szCs w:val="20"/>
    </w:rPr>
  </w:style>
  <w:style w:type="character" w:customStyle="1" w:styleId="TextonotaalfinalCar">
    <w:name w:val="Texto nota al final Car"/>
    <w:basedOn w:val="Fuentedeprrafopredeter"/>
    <w:link w:val="Textonotaalfinal"/>
    <w:semiHidden/>
    <w:rsid w:val="00F92DEE"/>
    <w:rPr>
      <w:rFonts w:ascii="Arial" w:hAnsi="Arial"/>
      <w:lang w:val="es-ES_tradnl" w:eastAsia="es-ES"/>
    </w:rPr>
  </w:style>
  <w:style w:type="character" w:styleId="Refdenotaalfinal">
    <w:name w:val="endnote reference"/>
    <w:basedOn w:val="Fuentedeprrafopredeter"/>
    <w:semiHidden/>
    <w:unhideWhenUsed/>
    <w:rsid w:val="00F92D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Gothic" w:hAnsi="Calibri"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Epgrafe">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paragraph" w:styleId="Textonotaalfinal">
    <w:name w:val="endnote text"/>
    <w:basedOn w:val="Normal"/>
    <w:link w:val="TextonotaalfinalCar"/>
    <w:semiHidden/>
    <w:unhideWhenUsed/>
    <w:rsid w:val="00F92DEE"/>
    <w:rPr>
      <w:sz w:val="20"/>
      <w:szCs w:val="20"/>
    </w:rPr>
  </w:style>
  <w:style w:type="character" w:customStyle="1" w:styleId="TextonotaalfinalCar">
    <w:name w:val="Texto nota al final Car"/>
    <w:basedOn w:val="Fuentedeprrafopredeter"/>
    <w:link w:val="Textonotaalfinal"/>
    <w:semiHidden/>
    <w:rsid w:val="00F92DEE"/>
    <w:rPr>
      <w:rFonts w:ascii="Arial" w:hAnsi="Arial"/>
      <w:lang w:val="es-ES_tradnl" w:eastAsia="es-ES"/>
    </w:rPr>
  </w:style>
  <w:style w:type="character" w:styleId="Refdenotaalfinal">
    <w:name w:val="endnote reference"/>
    <w:basedOn w:val="Fuentedeprrafopredeter"/>
    <w:semiHidden/>
    <w:unhideWhenUsed/>
    <w:rsid w:val="00F92D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494644407">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3884A-CB42-446B-B3A3-422926B44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967</Words>
  <Characters>5322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HP</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creator>Soporte Técnico</dc:creator>
  <cp:lastModifiedBy>Gabriel Armando Ospina Garcia</cp:lastModifiedBy>
  <cp:revision>4</cp:revision>
  <cp:lastPrinted>2016-07-11T22:55:00Z</cp:lastPrinted>
  <dcterms:created xsi:type="dcterms:W3CDTF">2016-12-14T21:38:00Z</dcterms:created>
  <dcterms:modified xsi:type="dcterms:W3CDTF">2016-12-15T20:50:00Z</dcterms:modified>
</cp:coreProperties>
</file>