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D56AF" w14:textId="77777777" w:rsidR="00386EB7" w:rsidRPr="00386EB7" w:rsidRDefault="00386EB7" w:rsidP="00386EB7">
      <w:pPr>
        <w:jc w:val="center"/>
        <w:rPr>
          <w:b/>
        </w:rPr>
      </w:pPr>
      <w:bookmarkStart w:id="0" w:name="_GoBack"/>
      <w:bookmarkEnd w:id="0"/>
      <w:r w:rsidRPr="00386EB7">
        <w:rPr>
          <w:b/>
        </w:rPr>
        <w:t>PARTE II</w:t>
      </w:r>
    </w:p>
    <w:p w14:paraId="50B35070" w14:textId="77777777" w:rsidR="00386EB7" w:rsidRPr="00386EB7" w:rsidRDefault="00386EB7" w:rsidP="00386EB7">
      <w:pPr>
        <w:jc w:val="center"/>
        <w:rPr>
          <w:b/>
        </w:rPr>
      </w:pPr>
      <w:r w:rsidRPr="00386EB7">
        <w:rPr>
          <w:b/>
        </w:rPr>
        <w:t>MERCADO INTERMEDIADO</w:t>
      </w:r>
    </w:p>
    <w:p w14:paraId="0A21C2DD" w14:textId="77777777" w:rsidR="00386EB7" w:rsidRPr="00386EB7" w:rsidRDefault="00386EB7" w:rsidP="00386EB7">
      <w:pPr>
        <w:jc w:val="center"/>
        <w:rPr>
          <w:b/>
        </w:rPr>
      </w:pPr>
    </w:p>
    <w:p w14:paraId="4C3D5A85" w14:textId="77777777" w:rsidR="00386EB7" w:rsidRPr="00386EB7" w:rsidRDefault="00386EB7" w:rsidP="00386EB7">
      <w:pPr>
        <w:jc w:val="center"/>
        <w:rPr>
          <w:b/>
        </w:rPr>
      </w:pPr>
      <w:r w:rsidRPr="00386EB7">
        <w:rPr>
          <w:b/>
        </w:rPr>
        <w:t>TÍTULO I</w:t>
      </w:r>
    </w:p>
    <w:p w14:paraId="68C69008" w14:textId="77777777" w:rsidR="00386EB7" w:rsidRPr="00386EB7" w:rsidRDefault="00386EB7" w:rsidP="00386EB7">
      <w:pPr>
        <w:jc w:val="center"/>
        <w:rPr>
          <w:b/>
        </w:rPr>
      </w:pPr>
      <w:r w:rsidRPr="00386EB7">
        <w:rPr>
          <w:b/>
        </w:rPr>
        <w:t>INSTRUCCIONES GENERALES RELATIVAS A LAS OPERACIONES</w:t>
      </w:r>
    </w:p>
    <w:p w14:paraId="24907C71" w14:textId="77777777" w:rsidR="00386EB7" w:rsidRPr="00386EB7" w:rsidRDefault="00386EB7" w:rsidP="00386EB7">
      <w:pPr>
        <w:jc w:val="center"/>
        <w:rPr>
          <w:rFonts w:cs="Arial"/>
          <w:b/>
        </w:rPr>
      </w:pPr>
      <w:r w:rsidRPr="00386EB7">
        <w:rPr>
          <w:b/>
        </w:rPr>
        <w:t>DE LOS ESTABLECIMIENTOS DE CRÉDITO</w:t>
      </w:r>
    </w:p>
    <w:p w14:paraId="5602C65A" w14:textId="77777777" w:rsidR="00386EB7" w:rsidRPr="00386EB7" w:rsidRDefault="00386EB7" w:rsidP="00386EB7">
      <w:pPr>
        <w:jc w:val="center"/>
        <w:rPr>
          <w:rFonts w:cs="Arial"/>
          <w:b/>
        </w:rPr>
      </w:pPr>
    </w:p>
    <w:p w14:paraId="43805997" w14:textId="77777777" w:rsidR="00386EB7" w:rsidRDefault="00386EB7" w:rsidP="00386EB7">
      <w:pPr>
        <w:jc w:val="center"/>
        <w:rPr>
          <w:rFonts w:cs="Arial"/>
          <w:b/>
        </w:rPr>
      </w:pPr>
      <w:r w:rsidRPr="00386EB7">
        <w:rPr>
          <w:rFonts w:cs="Arial"/>
          <w:b/>
        </w:rPr>
        <w:t xml:space="preserve">CAPÍTULO III: </w:t>
      </w:r>
      <w:r w:rsidR="00D059BF">
        <w:rPr>
          <w:rFonts w:cs="Arial"/>
          <w:b/>
        </w:rPr>
        <w:t>DISPOSICIONES</w:t>
      </w:r>
      <w:r w:rsidR="00FE2FDB">
        <w:rPr>
          <w:rFonts w:cs="Arial"/>
          <w:b/>
        </w:rPr>
        <w:t xml:space="preserve"> </w:t>
      </w:r>
      <w:r w:rsidR="00FE2FDB">
        <w:rPr>
          <w:b/>
          <w:kern w:val="16"/>
        </w:rPr>
        <w:t>ESPECIALES</w:t>
      </w:r>
      <w:r w:rsidR="00D059BF">
        <w:rPr>
          <w:rFonts w:cs="Arial"/>
          <w:b/>
        </w:rPr>
        <w:t xml:space="preserve"> APLICABLES A </w:t>
      </w:r>
      <w:r w:rsidR="00FE2FDB">
        <w:rPr>
          <w:rFonts w:cs="Arial"/>
          <w:b/>
        </w:rPr>
        <w:t xml:space="preserve">LAS </w:t>
      </w:r>
      <w:r w:rsidRPr="00386EB7">
        <w:rPr>
          <w:rFonts w:cs="Arial"/>
          <w:b/>
        </w:rPr>
        <w:t>OPERAClONES PASIVAS</w:t>
      </w:r>
    </w:p>
    <w:p w14:paraId="2DF9C91A" w14:textId="77777777" w:rsidR="00386EB7" w:rsidRPr="00386EB7" w:rsidRDefault="00386EB7" w:rsidP="00386EB7">
      <w:pPr>
        <w:jc w:val="center"/>
        <w:rPr>
          <w:rFonts w:cs="Arial"/>
          <w:b/>
          <w:szCs w:val="16"/>
        </w:rPr>
      </w:pPr>
    </w:p>
    <w:p w14:paraId="62A4BCB7" w14:textId="77777777" w:rsidR="00386EB7" w:rsidRPr="00386EB7" w:rsidRDefault="00386EB7" w:rsidP="00386EB7">
      <w:pPr>
        <w:jc w:val="center"/>
        <w:rPr>
          <w:rFonts w:cs="Arial"/>
          <w:b/>
          <w:szCs w:val="16"/>
        </w:rPr>
      </w:pPr>
    </w:p>
    <w:p w14:paraId="64E8A340" w14:textId="77777777" w:rsidR="00386EB7" w:rsidRPr="00386EB7" w:rsidRDefault="00386EB7" w:rsidP="00386EB7">
      <w:pPr>
        <w:pStyle w:val="Encabezadodetabladecontenido"/>
        <w:tabs>
          <w:tab w:val="left" w:pos="2131"/>
        </w:tabs>
        <w:spacing w:before="0"/>
        <w:rPr>
          <w:rFonts w:ascii="Arial" w:hAnsi="Arial" w:cs="Arial"/>
          <w:color w:val="auto"/>
          <w:sz w:val="16"/>
          <w:szCs w:val="16"/>
        </w:rPr>
      </w:pPr>
      <w:r w:rsidRPr="00386EB7">
        <w:rPr>
          <w:rFonts w:ascii="Arial" w:hAnsi="Arial" w:cs="Arial"/>
          <w:color w:val="auto"/>
          <w:sz w:val="16"/>
          <w:szCs w:val="16"/>
          <w:lang w:val="es-ES"/>
        </w:rPr>
        <w:t>CONTENIDO</w:t>
      </w:r>
      <w:r w:rsidRPr="00386EB7">
        <w:rPr>
          <w:rFonts w:ascii="Arial" w:hAnsi="Arial" w:cs="Arial"/>
          <w:color w:val="auto"/>
          <w:sz w:val="16"/>
          <w:szCs w:val="16"/>
          <w:lang w:val="es-ES"/>
        </w:rPr>
        <w:tab/>
      </w:r>
    </w:p>
    <w:p w14:paraId="4BCBC83C" w14:textId="77777777" w:rsidR="000B0FE9" w:rsidRPr="00AE6E83" w:rsidRDefault="00386EB7">
      <w:pPr>
        <w:pStyle w:val="TDC1"/>
        <w:tabs>
          <w:tab w:val="right" w:leader="dot" w:pos="8828"/>
        </w:tabs>
        <w:rPr>
          <w:rFonts w:ascii="Cambria" w:eastAsia="MS Mincho" w:hAnsi="Cambria"/>
          <w:b w:val="0"/>
          <w:bCs w:val="0"/>
          <w:noProof/>
          <w:sz w:val="24"/>
          <w:szCs w:val="24"/>
          <w:lang w:eastAsia="ja-JP"/>
        </w:rPr>
      </w:pPr>
      <w:r w:rsidRPr="00386EB7">
        <w:rPr>
          <w:rFonts w:ascii="Calibri" w:hAnsi="Calibri"/>
          <w:sz w:val="20"/>
        </w:rPr>
        <w:fldChar w:fldCharType="begin"/>
      </w:r>
      <w:r w:rsidRPr="00386EB7">
        <w:rPr>
          <w:rFonts w:ascii="Calibri" w:hAnsi="Calibri"/>
          <w:sz w:val="20"/>
        </w:rPr>
        <w:instrText xml:space="preserve"> </w:instrText>
      </w:r>
      <w:r w:rsidR="00B41918">
        <w:rPr>
          <w:rFonts w:ascii="Calibri" w:hAnsi="Calibri"/>
          <w:sz w:val="20"/>
        </w:rPr>
        <w:instrText>TOC</w:instrText>
      </w:r>
      <w:r w:rsidRPr="00386EB7">
        <w:rPr>
          <w:rFonts w:ascii="Calibri" w:hAnsi="Calibri"/>
          <w:sz w:val="20"/>
        </w:rPr>
        <w:instrText xml:space="preserve"> \o "1-2" \h \z \u </w:instrText>
      </w:r>
      <w:r w:rsidRPr="00386EB7">
        <w:rPr>
          <w:rFonts w:ascii="Calibri" w:hAnsi="Calibri"/>
          <w:sz w:val="20"/>
        </w:rPr>
        <w:fldChar w:fldCharType="separate"/>
      </w:r>
      <w:r w:rsidR="000B0FE9">
        <w:rPr>
          <w:noProof/>
        </w:rPr>
        <w:t>1. DEPÓSITOS EN CUENTAS CORRIENTE Y/O AHORROS</w:t>
      </w:r>
    </w:p>
    <w:p w14:paraId="63CD748B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1.1. Condiciones para la apertura de cuentas</w:t>
      </w:r>
    </w:p>
    <w:p w14:paraId="5BFCF507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1.2. Saldos abandonados en cuentas corrientes y de ahorros</w:t>
      </w:r>
    </w:p>
    <w:p w14:paraId="1250E30A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1.3. Recepción de moneda de curso legal</w:t>
      </w:r>
    </w:p>
    <w:p w14:paraId="4422B3C6" w14:textId="77777777" w:rsidR="000B0FE9" w:rsidRPr="00AE6E83" w:rsidRDefault="000B0FE9">
      <w:pPr>
        <w:pStyle w:val="TDC1"/>
        <w:tabs>
          <w:tab w:val="right" w:leader="dot" w:pos="8828"/>
        </w:tabs>
        <w:rPr>
          <w:rFonts w:ascii="Cambria" w:eastAsia="MS Mincho" w:hAnsi="Cambria"/>
          <w:b w:val="0"/>
          <w:bCs w:val="0"/>
          <w:noProof/>
          <w:sz w:val="24"/>
          <w:szCs w:val="24"/>
          <w:lang w:eastAsia="ja-JP"/>
        </w:rPr>
      </w:pPr>
      <w:r>
        <w:rPr>
          <w:noProof/>
        </w:rPr>
        <w:t>2. DEPÓSITOS DE AHORRO Y CERTIFICADOS DE AHORRO A TÉRMINO</w:t>
      </w:r>
    </w:p>
    <w:p w14:paraId="0257952A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2.1. Aspectos comunes</w:t>
      </w:r>
    </w:p>
    <w:p w14:paraId="750224C0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2.2. Depósitos de ahorro y CDAT- de corporaciones financieras y compañías de financiamiento</w:t>
      </w:r>
    </w:p>
    <w:p w14:paraId="6E48D84E" w14:textId="77777777" w:rsidR="000B0FE9" w:rsidRPr="00AE6E83" w:rsidRDefault="000B0FE9" w:rsidP="00853FED">
      <w:pPr>
        <w:pStyle w:val="TDC1"/>
        <w:tabs>
          <w:tab w:val="right" w:leader="dot" w:pos="8828"/>
        </w:tabs>
        <w:rPr>
          <w:rFonts w:ascii="Cambria" w:eastAsia="MS Mincho" w:hAnsi="Cambria"/>
          <w:b w:val="0"/>
          <w:bCs w:val="0"/>
          <w:noProof/>
          <w:sz w:val="24"/>
          <w:szCs w:val="24"/>
          <w:lang w:eastAsia="ja-JP"/>
        </w:rPr>
      </w:pPr>
      <w:r>
        <w:rPr>
          <w:noProof/>
        </w:rPr>
        <w:t>3. PRÁCTICAS INSEGURAS Y NO AUTORIZADAS</w:t>
      </w:r>
    </w:p>
    <w:p w14:paraId="7B9F1128" w14:textId="77777777" w:rsidR="000B0FE9" w:rsidRPr="00AE6E83" w:rsidRDefault="000B0FE9" w:rsidP="00853FED">
      <w:pPr>
        <w:pStyle w:val="TDC1"/>
        <w:tabs>
          <w:tab w:val="right" w:leader="dot" w:pos="8828"/>
        </w:tabs>
        <w:rPr>
          <w:rFonts w:ascii="Cambria" w:eastAsia="MS Mincho" w:hAnsi="Cambria"/>
          <w:b w:val="0"/>
          <w:bCs w:val="0"/>
          <w:noProof/>
          <w:sz w:val="24"/>
          <w:szCs w:val="24"/>
          <w:lang w:eastAsia="ja-JP"/>
        </w:rPr>
      </w:pPr>
      <w:r>
        <w:rPr>
          <w:noProof/>
        </w:rPr>
        <w:t>4. CUENTAS DE AHORROS ELECTRÓNICAS</w:t>
      </w:r>
    </w:p>
    <w:p w14:paraId="2062303B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4.1. Condiciones especiales para la apertura de cuentas de ahorros electrónicas</w:t>
      </w:r>
    </w:p>
    <w:p w14:paraId="71E11548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4.2. Instrucciones especiales en materia de seguridad y calidad para la realización de operaciones</w:t>
      </w:r>
    </w:p>
    <w:p w14:paraId="62FA60CB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 w:rsidRPr="00AD46B5">
        <w:rPr>
          <w:noProof/>
          <w:lang w:val="es-CO"/>
        </w:rPr>
        <w:t>4.3. Reglas especiales en materia de protección al consumidor financiero</w:t>
      </w:r>
    </w:p>
    <w:p w14:paraId="3A602C7B" w14:textId="77777777" w:rsidR="000B0FE9" w:rsidRPr="00AE6E83" w:rsidRDefault="000B0FE9">
      <w:pPr>
        <w:pStyle w:val="TDC1"/>
        <w:tabs>
          <w:tab w:val="right" w:leader="dot" w:pos="8828"/>
        </w:tabs>
        <w:rPr>
          <w:rFonts w:ascii="Cambria" w:eastAsia="MS Mincho" w:hAnsi="Cambria"/>
          <w:b w:val="0"/>
          <w:bCs w:val="0"/>
          <w:noProof/>
          <w:sz w:val="24"/>
          <w:szCs w:val="24"/>
          <w:lang w:eastAsia="ja-JP"/>
        </w:rPr>
      </w:pPr>
      <w:r>
        <w:rPr>
          <w:noProof/>
        </w:rPr>
        <w:t>5. CUENTAS DE AHORROS DE TRÁMITE SIMPLIFICADO</w:t>
      </w:r>
    </w:p>
    <w:p w14:paraId="16973145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5.1. Características</w:t>
      </w:r>
    </w:p>
    <w:p w14:paraId="4149DB97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5.2. Condiciones especiales para el trámite simplificado de apertura de cuentas de ahorros</w:t>
      </w:r>
    </w:p>
    <w:p w14:paraId="4979FA2F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5.3. Información a los consumidores financieros</w:t>
      </w:r>
    </w:p>
    <w:p w14:paraId="677FBE1B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5.4. Instrucciones especiales respecto de la administración de los riesgos de lavado de activos y financiación del terrorismo y de riesgo operativo</w:t>
      </w:r>
    </w:p>
    <w:p w14:paraId="2AACF444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5.5. Terminación de las cuentas</w:t>
      </w:r>
    </w:p>
    <w:p w14:paraId="4823A21B" w14:textId="77777777" w:rsidR="000B0FE9" w:rsidRPr="00D24C86" w:rsidRDefault="000B0FE9" w:rsidP="00D24C86">
      <w:pPr>
        <w:pStyle w:val="TDC1"/>
        <w:pBdr>
          <w:left w:val="single" w:sz="4" w:space="4" w:color="auto"/>
        </w:pBdr>
        <w:tabs>
          <w:tab w:val="right" w:leader="dot" w:pos="8828"/>
        </w:tabs>
        <w:rPr>
          <w:rFonts w:ascii="Cambria" w:eastAsia="MS Mincho" w:hAnsi="Cambria"/>
          <w:bCs w:val="0"/>
          <w:noProof/>
          <w:sz w:val="24"/>
          <w:szCs w:val="24"/>
          <w:lang w:eastAsia="ja-JP"/>
        </w:rPr>
      </w:pPr>
      <w:r w:rsidRPr="00D24C86">
        <w:rPr>
          <w:noProof/>
          <w:lang w:val="es-CO"/>
        </w:rPr>
        <w:t xml:space="preserve">6. DEPÓSITOS </w:t>
      </w:r>
      <w:r w:rsidR="00D24C86" w:rsidRPr="00D24C86">
        <w:rPr>
          <w:noProof/>
          <w:lang w:val="es-CO"/>
        </w:rPr>
        <w:t>ELECTRÓNICOS</w:t>
      </w:r>
    </w:p>
    <w:p w14:paraId="1A0EB1A3" w14:textId="77777777" w:rsidR="000B0FE9" w:rsidRPr="00D24C86" w:rsidRDefault="00D24C86" w:rsidP="00D24C86">
      <w:pPr>
        <w:pStyle w:val="TDC2"/>
        <w:pBdr>
          <w:left w:val="single" w:sz="4" w:space="4" w:color="auto"/>
        </w:pBdr>
        <w:tabs>
          <w:tab w:val="right" w:leader="dot" w:pos="8828"/>
        </w:tabs>
        <w:rPr>
          <w:rFonts w:ascii="Cambria" w:eastAsia="MS Mincho" w:hAnsi="Cambria"/>
          <w:b/>
          <w:iCs w:val="0"/>
          <w:noProof/>
          <w:sz w:val="24"/>
          <w:szCs w:val="24"/>
          <w:lang w:eastAsia="ja-JP"/>
        </w:rPr>
      </w:pPr>
      <w:r w:rsidRPr="00D24C86">
        <w:rPr>
          <w:b/>
          <w:noProof/>
        </w:rPr>
        <w:t>6.1. Características</w:t>
      </w:r>
    </w:p>
    <w:p w14:paraId="40C18D29" w14:textId="77777777" w:rsidR="000B0FE9" w:rsidRPr="00D24C86" w:rsidRDefault="000B0FE9" w:rsidP="00D24C86">
      <w:pPr>
        <w:pStyle w:val="TDC2"/>
        <w:pBdr>
          <w:left w:val="single" w:sz="4" w:space="4" w:color="auto"/>
        </w:pBdr>
        <w:tabs>
          <w:tab w:val="right" w:leader="dot" w:pos="8828"/>
        </w:tabs>
        <w:rPr>
          <w:rFonts w:ascii="Cambria" w:eastAsia="MS Mincho" w:hAnsi="Cambria"/>
          <w:b/>
          <w:iCs w:val="0"/>
          <w:noProof/>
          <w:sz w:val="24"/>
          <w:szCs w:val="24"/>
          <w:lang w:eastAsia="ja-JP"/>
        </w:rPr>
      </w:pPr>
      <w:r w:rsidRPr="00D24C86">
        <w:rPr>
          <w:b/>
          <w:noProof/>
        </w:rPr>
        <w:t>6.2. Depósitos de dinero electrónico utilizados para canalizar subsidios estatales</w:t>
      </w:r>
    </w:p>
    <w:p w14:paraId="5C513AA8" w14:textId="77777777" w:rsidR="000B0FE9" w:rsidRPr="00D24C86" w:rsidRDefault="000B0FE9" w:rsidP="00D24C86">
      <w:pPr>
        <w:pStyle w:val="TDC2"/>
        <w:pBdr>
          <w:left w:val="single" w:sz="4" w:space="4" w:color="auto"/>
        </w:pBdr>
        <w:tabs>
          <w:tab w:val="right" w:leader="dot" w:pos="8828"/>
        </w:tabs>
        <w:rPr>
          <w:rFonts w:ascii="Cambria" w:eastAsia="MS Mincho" w:hAnsi="Cambria"/>
          <w:b/>
          <w:iCs w:val="0"/>
          <w:noProof/>
          <w:sz w:val="24"/>
          <w:szCs w:val="24"/>
          <w:lang w:eastAsia="ja-JP"/>
        </w:rPr>
      </w:pPr>
      <w:r w:rsidRPr="00D24C86">
        <w:rPr>
          <w:b/>
          <w:noProof/>
        </w:rPr>
        <w:t>6.3. Autorización de los reglamentos</w:t>
      </w:r>
    </w:p>
    <w:p w14:paraId="334413ED" w14:textId="77777777" w:rsidR="000B0FE9" w:rsidRPr="00D24C86" w:rsidRDefault="000B0FE9" w:rsidP="00D24C86">
      <w:pPr>
        <w:pStyle w:val="TDC2"/>
        <w:pBdr>
          <w:left w:val="single" w:sz="4" w:space="4" w:color="auto"/>
        </w:pBdr>
        <w:tabs>
          <w:tab w:val="right" w:leader="dot" w:pos="8828"/>
        </w:tabs>
        <w:rPr>
          <w:rFonts w:ascii="Cambria" w:eastAsia="MS Mincho" w:hAnsi="Cambria"/>
          <w:b/>
          <w:iCs w:val="0"/>
          <w:noProof/>
          <w:sz w:val="24"/>
          <w:szCs w:val="24"/>
          <w:lang w:eastAsia="ja-JP"/>
        </w:rPr>
      </w:pPr>
      <w:r w:rsidRPr="00D24C86">
        <w:rPr>
          <w:b/>
          <w:noProof/>
        </w:rPr>
        <w:t>6.4. Reglas especiales en materia de información</w:t>
      </w:r>
    </w:p>
    <w:p w14:paraId="55BD3D38" w14:textId="77777777" w:rsidR="000B0FE9" w:rsidRPr="00D24C86" w:rsidRDefault="000B0FE9" w:rsidP="00D24C86">
      <w:pPr>
        <w:pStyle w:val="TDC2"/>
        <w:pBdr>
          <w:left w:val="single" w:sz="4" w:space="4" w:color="auto"/>
        </w:pBdr>
        <w:tabs>
          <w:tab w:val="right" w:leader="dot" w:pos="8828"/>
        </w:tabs>
        <w:rPr>
          <w:rFonts w:ascii="Cambria" w:eastAsia="MS Mincho" w:hAnsi="Cambria"/>
          <w:b/>
          <w:iCs w:val="0"/>
          <w:noProof/>
          <w:sz w:val="24"/>
          <w:szCs w:val="24"/>
          <w:lang w:eastAsia="ja-JP"/>
        </w:rPr>
      </w:pPr>
      <w:r w:rsidRPr="00D24C86">
        <w:rPr>
          <w:b/>
          <w:noProof/>
        </w:rPr>
        <w:t>6.5. Instrucciones especiales respecto de la administración del riesgo de lavado de activos y de la financiación del terrorismo</w:t>
      </w:r>
    </w:p>
    <w:p w14:paraId="57E26A2E" w14:textId="77777777" w:rsidR="000B0FE9" w:rsidRPr="00AE6E83" w:rsidRDefault="000B0FE9">
      <w:pPr>
        <w:pStyle w:val="TDC1"/>
        <w:tabs>
          <w:tab w:val="right" w:leader="dot" w:pos="8828"/>
        </w:tabs>
        <w:rPr>
          <w:rFonts w:ascii="Cambria" w:eastAsia="MS Mincho" w:hAnsi="Cambria"/>
          <w:b w:val="0"/>
          <w:bCs w:val="0"/>
          <w:noProof/>
          <w:sz w:val="24"/>
          <w:szCs w:val="24"/>
          <w:lang w:eastAsia="ja-JP"/>
        </w:rPr>
      </w:pPr>
      <w:r>
        <w:rPr>
          <w:noProof/>
        </w:rPr>
        <w:t>7. INSTRUCCIONES COMUNES</w:t>
      </w:r>
    </w:p>
    <w:p w14:paraId="24104293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7.1. Excepciones a requisitos de apertura</w:t>
      </w:r>
    </w:p>
    <w:p w14:paraId="1ED6CF68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7.2. Instrucciones especiales en materia de seguridad y calidad para la realización de operaciones</w:t>
      </w:r>
    </w:p>
    <w:p w14:paraId="31DF7FA1" w14:textId="77777777" w:rsidR="000B0FE9" w:rsidRPr="00AE6E83" w:rsidRDefault="000B0FE9">
      <w:pPr>
        <w:pStyle w:val="TDC2"/>
        <w:tabs>
          <w:tab w:val="right" w:leader="dot" w:pos="8828"/>
        </w:tabs>
        <w:rPr>
          <w:rFonts w:ascii="Cambria" w:eastAsia="MS Mincho" w:hAnsi="Cambria"/>
          <w:iCs w:val="0"/>
          <w:noProof/>
          <w:sz w:val="24"/>
          <w:szCs w:val="24"/>
          <w:lang w:eastAsia="ja-JP"/>
        </w:rPr>
      </w:pPr>
      <w:r>
        <w:rPr>
          <w:noProof/>
        </w:rPr>
        <w:t>7.3. Extractos</w:t>
      </w:r>
    </w:p>
    <w:p w14:paraId="66301BD4" w14:textId="77777777" w:rsidR="00386EB7" w:rsidRDefault="00386EB7">
      <w:r w:rsidRPr="00386EB7">
        <w:rPr>
          <w:rFonts w:ascii="Calibri" w:hAnsi="Calibri"/>
          <w:sz w:val="20"/>
        </w:rPr>
        <w:fldChar w:fldCharType="end"/>
      </w:r>
    </w:p>
    <w:p w14:paraId="5EA873C6" w14:textId="77777777" w:rsidR="00386EB7" w:rsidRDefault="00386EB7" w:rsidP="00386EB7">
      <w:pPr>
        <w:jc w:val="center"/>
        <w:rPr>
          <w:rFonts w:cs="Arial"/>
          <w:b/>
        </w:rPr>
      </w:pPr>
    </w:p>
    <w:p w14:paraId="7F6E5203" w14:textId="77777777" w:rsidR="00386EB7" w:rsidRDefault="00386EB7" w:rsidP="00386EB7">
      <w:pPr>
        <w:jc w:val="center"/>
        <w:rPr>
          <w:b/>
        </w:rPr>
      </w:pPr>
    </w:p>
    <w:p w14:paraId="464D2A2F" w14:textId="77777777" w:rsidR="00386EB7" w:rsidRDefault="00386EB7" w:rsidP="00386EB7">
      <w:pPr>
        <w:jc w:val="center"/>
        <w:rPr>
          <w:b/>
        </w:rPr>
      </w:pPr>
    </w:p>
    <w:p w14:paraId="195838E6" w14:textId="77777777" w:rsidR="00386EB7" w:rsidRDefault="00386EB7" w:rsidP="00386EB7">
      <w:pPr>
        <w:jc w:val="center"/>
        <w:rPr>
          <w:b/>
        </w:rPr>
      </w:pPr>
    </w:p>
    <w:p w14:paraId="688B91A4" w14:textId="77777777" w:rsidR="00386EB7" w:rsidRDefault="00386EB7" w:rsidP="00386EB7">
      <w:pPr>
        <w:jc w:val="center"/>
        <w:rPr>
          <w:b/>
        </w:rPr>
      </w:pPr>
    </w:p>
    <w:p w14:paraId="4D5F225C" w14:textId="77777777" w:rsidR="00386EB7" w:rsidRDefault="00386EB7" w:rsidP="00386EB7">
      <w:pPr>
        <w:jc w:val="center"/>
        <w:rPr>
          <w:b/>
        </w:rPr>
      </w:pPr>
    </w:p>
    <w:p w14:paraId="55B5FED5" w14:textId="77777777" w:rsidR="00386EB7" w:rsidRDefault="00386EB7" w:rsidP="00386EB7">
      <w:pPr>
        <w:jc w:val="center"/>
        <w:rPr>
          <w:b/>
        </w:rPr>
      </w:pPr>
    </w:p>
    <w:p w14:paraId="41FE224C" w14:textId="77777777" w:rsidR="00386EB7" w:rsidRDefault="00386EB7" w:rsidP="00386EB7">
      <w:pPr>
        <w:jc w:val="center"/>
        <w:rPr>
          <w:b/>
        </w:rPr>
      </w:pPr>
    </w:p>
    <w:p w14:paraId="4D768D2F" w14:textId="77777777" w:rsidR="00386EB7" w:rsidRDefault="00386EB7" w:rsidP="00386EB7">
      <w:pPr>
        <w:jc w:val="center"/>
        <w:rPr>
          <w:b/>
        </w:rPr>
      </w:pPr>
    </w:p>
    <w:p w14:paraId="58131A2A" w14:textId="77777777" w:rsidR="00386EB7" w:rsidRDefault="00386EB7" w:rsidP="00386EB7">
      <w:pPr>
        <w:jc w:val="center"/>
        <w:rPr>
          <w:b/>
        </w:rPr>
      </w:pPr>
    </w:p>
    <w:p w14:paraId="6FDFB225" w14:textId="77777777" w:rsidR="00386EB7" w:rsidRDefault="00386EB7" w:rsidP="00386EB7">
      <w:pPr>
        <w:jc w:val="center"/>
        <w:rPr>
          <w:b/>
        </w:rPr>
      </w:pPr>
    </w:p>
    <w:p w14:paraId="73C21D10" w14:textId="77777777" w:rsidR="00386EB7" w:rsidRDefault="00386EB7" w:rsidP="00386EB7">
      <w:pPr>
        <w:jc w:val="center"/>
        <w:rPr>
          <w:b/>
        </w:rPr>
      </w:pPr>
    </w:p>
    <w:p w14:paraId="78E1F71B" w14:textId="77777777" w:rsidR="00386EB7" w:rsidRDefault="00386EB7" w:rsidP="00386EB7">
      <w:pPr>
        <w:jc w:val="center"/>
        <w:rPr>
          <w:b/>
        </w:rPr>
      </w:pPr>
    </w:p>
    <w:p w14:paraId="0FD1B03C" w14:textId="77777777" w:rsidR="00386EB7" w:rsidRDefault="00386EB7" w:rsidP="00386EB7">
      <w:pPr>
        <w:jc w:val="center"/>
        <w:rPr>
          <w:b/>
        </w:rPr>
      </w:pPr>
    </w:p>
    <w:p w14:paraId="7A62B726" w14:textId="77777777" w:rsidR="00386EB7" w:rsidRDefault="00386EB7" w:rsidP="00386EB7">
      <w:pPr>
        <w:jc w:val="center"/>
        <w:rPr>
          <w:b/>
        </w:rPr>
      </w:pPr>
    </w:p>
    <w:p w14:paraId="38192657" w14:textId="77777777" w:rsidR="00386EB7" w:rsidRDefault="00386EB7" w:rsidP="00386EB7">
      <w:pPr>
        <w:jc w:val="center"/>
        <w:rPr>
          <w:b/>
        </w:rPr>
      </w:pPr>
    </w:p>
    <w:p w14:paraId="37E0A30F" w14:textId="77777777" w:rsidR="00386EB7" w:rsidRDefault="00386EB7" w:rsidP="00386EB7">
      <w:pPr>
        <w:jc w:val="center"/>
        <w:rPr>
          <w:b/>
        </w:rPr>
      </w:pPr>
    </w:p>
    <w:p w14:paraId="3FDC4CEB" w14:textId="77777777" w:rsidR="00386EB7" w:rsidRDefault="00386EB7" w:rsidP="00386EB7">
      <w:pPr>
        <w:jc w:val="center"/>
        <w:rPr>
          <w:b/>
        </w:rPr>
      </w:pPr>
    </w:p>
    <w:p w14:paraId="017F9E61" w14:textId="77777777" w:rsidR="00386EB7" w:rsidRDefault="00386EB7" w:rsidP="00386EB7">
      <w:pPr>
        <w:jc w:val="center"/>
        <w:rPr>
          <w:b/>
        </w:rPr>
      </w:pPr>
    </w:p>
    <w:p w14:paraId="17EB9BE6" w14:textId="77777777" w:rsidR="00386EB7" w:rsidRDefault="00386EB7" w:rsidP="00386EB7">
      <w:pPr>
        <w:jc w:val="center"/>
        <w:rPr>
          <w:b/>
        </w:rPr>
      </w:pPr>
    </w:p>
    <w:p w14:paraId="44C883EC" w14:textId="77777777" w:rsidR="00386EB7" w:rsidRDefault="00386EB7" w:rsidP="00386EB7">
      <w:pPr>
        <w:jc w:val="center"/>
        <w:rPr>
          <w:b/>
        </w:rPr>
      </w:pPr>
    </w:p>
    <w:p w14:paraId="5B79D102" w14:textId="77777777" w:rsidR="00386EB7" w:rsidRDefault="00386EB7" w:rsidP="00386EB7">
      <w:pPr>
        <w:jc w:val="center"/>
        <w:rPr>
          <w:b/>
        </w:rPr>
      </w:pPr>
    </w:p>
    <w:p w14:paraId="6B541AD5" w14:textId="77777777" w:rsidR="00386EB7" w:rsidRDefault="00386EB7" w:rsidP="00386EB7">
      <w:pPr>
        <w:jc w:val="center"/>
        <w:rPr>
          <w:b/>
        </w:rPr>
      </w:pPr>
    </w:p>
    <w:p w14:paraId="149646CE" w14:textId="77777777" w:rsidR="00386EB7" w:rsidRDefault="00386EB7" w:rsidP="00386EB7">
      <w:pPr>
        <w:jc w:val="center"/>
        <w:rPr>
          <w:b/>
        </w:rPr>
      </w:pPr>
    </w:p>
    <w:p w14:paraId="64271630" w14:textId="77777777" w:rsidR="00386EB7" w:rsidRDefault="00386EB7" w:rsidP="00386EB7">
      <w:pPr>
        <w:jc w:val="center"/>
        <w:rPr>
          <w:b/>
        </w:rPr>
      </w:pPr>
    </w:p>
    <w:p w14:paraId="4A8B28F9" w14:textId="77777777" w:rsidR="005F3336" w:rsidRDefault="005F3336" w:rsidP="00400522">
      <w:pPr>
        <w:rPr>
          <w:b/>
        </w:rPr>
        <w:sectPr w:rsidR="005F3336" w:rsidSect="005F3336">
          <w:headerReference w:type="default" r:id="rId9"/>
          <w:footerReference w:type="default" r:id="rId10"/>
          <w:pgSz w:w="12240" w:h="18720" w:code="14"/>
          <w:pgMar w:top="1418" w:right="1701" w:bottom="1418" w:left="1701" w:header="1134" w:footer="1134" w:gutter="0"/>
          <w:paperSrc w:first="15" w:other="15"/>
          <w:pgNumType w:start="1"/>
          <w:cols w:space="720"/>
          <w:noEndnote/>
          <w:docGrid w:linePitch="218"/>
        </w:sectPr>
      </w:pPr>
    </w:p>
    <w:p w14:paraId="57AFA3C2" w14:textId="77777777" w:rsidR="00705175" w:rsidRPr="00EF5BE4" w:rsidRDefault="00705175" w:rsidP="00705175">
      <w:pPr>
        <w:jc w:val="both"/>
        <w:rPr>
          <w:rFonts w:cs="Arial"/>
          <w:szCs w:val="16"/>
        </w:rPr>
      </w:pPr>
      <w:r w:rsidRPr="00EF5BE4">
        <w:rPr>
          <w:rFonts w:cs="Arial"/>
          <w:szCs w:val="16"/>
        </w:rPr>
        <w:lastRenderedPageBreak/>
        <w:t xml:space="preserve">En todo caso, cuando el saldo máximo de las cuentas de ahorro con trámite simplificado no exceda en ningún momento 3 </w:t>
      </w:r>
      <w:proofErr w:type="spellStart"/>
      <w:r>
        <w:rPr>
          <w:rFonts w:cs="Arial"/>
          <w:szCs w:val="16"/>
        </w:rPr>
        <w:t>smmlv</w:t>
      </w:r>
      <w:proofErr w:type="spellEnd"/>
      <w:r w:rsidRPr="00EF5BE4">
        <w:rPr>
          <w:rFonts w:cs="Arial"/>
          <w:szCs w:val="16"/>
        </w:rPr>
        <w:t>, se extenderá la aplicación de las instrucciones especiales para la administración del riesgo de lavado de activos y de la financiación del terrorismo establecidas para los depósitos de dinero electrónico.</w:t>
      </w:r>
    </w:p>
    <w:p w14:paraId="082A3860" w14:textId="77777777" w:rsidR="00705175" w:rsidRPr="00EF5BE4" w:rsidRDefault="00705175" w:rsidP="00705175">
      <w:pPr>
        <w:jc w:val="both"/>
        <w:rPr>
          <w:rFonts w:cs="Arial"/>
          <w:b/>
          <w:szCs w:val="16"/>
          <w:lang w:val="es-CO"/>
        </w:rPr>
      </w:pPr>
    </w:p>
    <w:p w14:paraId="56C167C2" w14:textId="77777777" w:rsidR="00705175" w:rsidRPr="00EF5BE4" w:rsidRDefault="00705175" w:rsidP="00705175">
      <w:pPr>
        <w:pStyle w:val="Ttulo2"/>
      </w:pPr>
      <w:bookmarkStart w:id="1" w:name="_Toc267336147"/>
      <w:r w:rsidRPr="00EF5BE4">
        <w:t>5.</w:t>
      </w:r>
      <w:r>
        <w:t>5</w:t>
      </w:r>
      <w:r w:rsidRPr="00EF5BE4">
        <w:t>. Terminación de las cuentas</w:t>
      </w:r>
      <w:bookmarkEnd w:id="1"/>
      <w:r w:rsidRPr="00EF5BE4">
        <w:t xml:space="preserve"> </w:t>
      </w:r>
    </w:p>
    <w:p w14:paraId="54B64FBF" w14:textId="77777777" w:rsidR="00705175" w:rsidRPr="00EF5BE4" w:rsidRDefault="00705175" w:rsidP="00705175">
      <w:pPr>
        <w:jc w:val="both"/>
        <w:rPr>
          <w:rFonts w:cs="Arial"/>
          <w:b/>
          <w:szCs w:val="16"/>
        </w:rPr>
      </w:pPr>
    </w:p>
    <w:p w14:paraId="711E3D28" w14:textId="77777777" w:rsidR="00705175" w:rsidRPr="00EF5BE4" w:rsidRDefault="00705175" w:rsidP="00705175">
      <w:pPr>
        <w:jc w:val="both"/>
        <w:rPr>
          <w:rFonts w:cs="Arial"/>
          <w:szCs w:val="16"/>
          <w:lang w:val="es-CO"/>
        </w:rPr>
      </w:pPr>
      <w:r w:rsidRPr="00EF5BE4">
        <w:rPr>
          <w:rFonts w:cs="Arial"/>
          <w:szCs w:val="16"/>
        </w:rPr>
        <w:t>Si al momento de terminar el contrato de las cuentas</w:t>
      </w:r>
      <w:r w:rsidRPr="00EF5BE4">
        <w:rPr>
          <w:rFonts w:cs="Arial"/>
          <w:b/>
          <w:szCs w:val="16"/>
        </w:rPr>
        <w:t xml:space="preserve"> </w:t>
      </w:r>
      <w:r w:rsidRPr="00EF5BE4">
        <w:rPr>
          <w:rFonts w:cs="Arial"/>
          <w:szCs w:val="16"/>
        </w:rPr>
        <w:t xml:space="preserve">de que trata el presente numeral el saldo supera 3 </w:t>
      </w:r>
      <w:proofErr w:type="spellStart"/>
      <w:r>
        <w:rPr>
          <w:rFonts w:cs="Arial"/>
          <w:szCs w:val="16"/>
        </w:rPr>
        <w:t>smmlv</w:t>
      </w:r>
      <w:proofErr w:type="spellEnd"/>
      <w:r w:rsidRPr="00EF5BE4">
        <w:rPr>
          <w:rFonts w:cs="Arial"/>
          <w:szCs w:val="16"/>
        </w:rPr>
        <w:t>, los establecimientos de crédito deben realizar todos los procedimientos generales previstos en las normas vigentes para efectuar el diligenciamiento del formulario de vinculación.</w:t>
      </w:r>
    </w:p>
    <w:p w14:paraId="301D2184" w14:textId="77777777" w:rsidR="00705175" w:rsidRPr="0074165E" w:rsidRDefault="00705175" w:rsidP="005A3DBD">
      <w:pPr>
        <w:pStyle w:val="Listaoscura-nfasis61"/>
        <w:rPr>
          <w:rFonts w:cs="Arial"/>
          <w:szCs w:val="16"/>
          <w:lang w:val="es-CO"/>
        </w:rPr>
      </w:pPr>
    </w:p>
    <w:p w14:paraId="689B93B3" w14:textId="77777777" w:rsidR="00705175" w:rsidRPr="005958D1" w:rsidRDefault="00705175" w:rsidP="005A3DBD">
      <w:pPr>
        <w:pStyle w:val="Listaoscura-nfasis61"/>
        <w:rPr>
          <w:rFonts w:cs="Arial"/>
          <w:szCs w:val="16"/>
        </w:rPr>
      </w:pPr>
    </w:p>
    <w:p w14:paraId="337E368F" w14:textId="77777777" w:rsidR="00705175" w:rsidRPr="00EF5BE4" w:rsidRDefault="00705175" w:rsidP="00D24C86">
      <w:pPr>
        <w:pStyle w:val="Ttulo1"/>
        <w:pBdr>
          <w:left w:val="single" w:sz="4" w:space="1" w:color="auto"/>
        </w:pBdr>
        <w:rPr>
          <w:lang w:val="es-CO"/>
        </w:rPr>
      </w:pPr>
      <w:bookmarkStart w:id="2" w:name="_Toc267336148"/>
      <w:r w:rsidRPr="00D24C86">
        <w:rPr>
          <w:lang w:val="es-CO"/>
        </w:rPr>
        <w:t>6. DEPÓSITOS ELECTRÓNICO</w:t>
      </w:r>
      <w:r w:rsidR="00017363" w:rsidRPr="00D24C86">
        <w:rPr>
          <w:lang w:val="es-CO"/>
        </w:rPr>
        <w:t>S</w:t>
      </w:r>
      <w:r w:rsidRPr="00D24C86">
        <w:rPr>
          <w:lang w:val="es-CO"/>
        </w:rPr>
        <w:t xml:space="preserve"> </w:t>
      </w:r>
      <w:bookmarkEnd w:id="2"/>
    </w:p>
    <w:p w14:paraId="0BFFE172" w14:textId="77777777" w:rsidR="00705175" w:rsidRPr="005958D1" w:rsidRDefault="00705175" w:rsidP="00D24C86">
      <w:pPr>
        <w:pBdr>
          <w:left w:val="single" w:sz="4" w:space="1" w:color="auto"/>
        </w:pBdr>
        <w:rPr>
          <w:rFonts w:cs="Arial"/>
          <w:b/>
          <w:szCs w:val="16"/>
          <w:lang w:val="es-CO"/>
        </w:rPr>
      </w:pPr>
    </w:p>
    <w:p w14:paraId="72788F8E" w14:textId="77777777" w:rsidR="00BF574E" w:rsidRPr="00D24C86" w:rsidRDefault="00BF574E" w:rsidP="00D24C86">
      <w:pPr>
        <w:pBdr>
          <w:left w:val="single" w:sz="4" w:space="1" w:color="auto"/>
        </w:pBdr>
        <w:jc w:val="both"/>
        <w:rPr>
          <w:rFonts w:cs="Arial"/>
          <w:b/>
          <w:szCs w:val="16"/>
          <w:lang w:val="es-CO"/>
        </w:rPr>
      </w:pPr>
      <w:r w:rsidRPr="00D24C86">
        <w:rPr>
          <w:rFonts w:cs="Arial"/>
          <w:b/>
          <w:szCs w:val="16"/>
          <w:lang w:val="es-CO"/>
        </w:rPr>
        <w:t>6.1. Características</w:t>
      </w:r>
    </w:p>
    <w:p w14:paraId="16281CD2" w14:textId="77777777" w:rsidR="00BF574E" w:rsidRPr="00D24C86" w:rsidRDefault="00BF574E" w:rsidP="00D24C86">
      <w:pPr>
        <w:pBdr>
          <w:left w:val="single" w:sz="4" w:space="1" w:color="auto"/>
        </w:pBdr>
        <w:jc w:val="both"/>
        <w:rPr>
          <w:rFonts w:cs="Arial"/>
          <w:b/>
          <w:szCs w:val="16"/>
          <w:lang w:val="es-CO"/>
        </w:rPr>
      </w:pPr>
    </w:p>
    <w:p w14:paraId="1BE65CDD" w14:textId="37BAFC84" w:rsidR="00BF574E" w:rsidRPr="00D24C86" w:rsidRDefault="00BF574E" w:rsidP="00D24C86">
      <w:pPr>
        <w:pBdr>
          <w:left w:val="single" w:sz="4" w:space="1" w:color="auto"/>
        </w:pBdr>
        <w:jc w:val="both"/>
        <w:rPr>
          <w:rFonts w:cs="Arial"/>
          <w:b/>
          <w:szCs w:val="16"/>
          <w:lang w:val="es-CO"/>
        </w:rPr>
      </w:pPr>
      <w:r w:rsidRPr="00D24C86">
        <w:rPr>
          <w:rFonts w:cs="Arial"/>
          <w:b/>
          <w:szCs w:val="16"/>
          <w:lang w:val="es-CO"/>
        </w:rPr>
        <w:t>Los depósitos electrónicos son depósitos a la vista, diferentes de las cuenta corrientes y de ahorro, a nombre de</w:t>
      </w:r>
      <w:r w:rsidR="00CE66C6">
        <w:rPr>
          <w:rFonts w:cs="Arial"/>
          <w:b/>
          <w:szCs w:val="16"/>
          <w:lang w:val="es-CO"/>
        </w:rPr>
        <w:t xml:space="preserve"> personas naturales o jurídicas.</w:t>
      </w:r>
      <w:r w:rsidRPr="00D24C86">
        <w:rPr>
          <w:rFonts w:cs="Arial"/>
          <w:b/>
          <w:szCs w:val="16"/>
          <w:lang w:val="es-CO"/>
        </w:rPr>
        <w:t xml:space="preserve"> </w:t>
      </w:r>
      <w:r w:rsidR="00CE66C6" w:rsidRPr="00D24C86">
        <w:rPr>
          <w:rFonts w:cs="Arial"/>
          <w:b/>
          <w:szCs w:val="16"/>
          <w:lang w:val="es-CO"/>
        </w:rPr>
        <w:t xml:space="preserve">La administración y el manejo de los depósitos electrónicos deben </w:t>
      </w:r>
      <w:r w:rsidR="00CE66C6">
        <w:rPr>
          <w:rFonts w:cs="Arial"/>
          <w:b/>
          <w:szCs w:val="16"/>
          <w:lang w:val="es-CO"/>
        </w:rPr>
        <w:t xml:space="preserve">sujetarse a lo </w:t>
      </w:r>
      <w:r w:rsidR="00CE66C6" w:rsidRPr="00D24C86">
        <w:rPr>
          <w:rFonts w:cs="Arial"/>
          <w:b/>
          <w:szCs w:val="16"/>
          <w:lang w:val="es-CO"/>
        </w:rPr>
        <w:t xml:space="preserve"> dispuesto en los arts. 2.1.15.1.1 y siguientes del Decreto 2555 de 2010.</w:t>
      </w:r>
      <w:r w:rsidRPr="00D24C86">
        <w:rPr>
          <w:rFonts w:cs="Arial"/>
          <w:b/>
          <w:szCs w:val="16"/>
          <w:lang w:val="es-CO"/>
        </w:rPr>
        <w:t xml:space="preserve"> </w:t>
      </w:r>
      <w:r w:rsidR="004C13DC" w:rsidRPr="00D24C86">
        <w:rPr>
          <w:rFonts w:cs="Arial"/>
          <w:b/>
          <w:szCs w:val="16"/>
          <w:lang w:val="es-CO"/>
        </w:rPr>
        <w:t>L</w:t>
      </w:r>
      <w:r w:rsidRPr="00D24C86">
        <w:rPr>
          <w:rFonts w:cs="Arial"/>
          <w:b/>
          <w:szCs w:val="16"/>
          <w:lang w:val="es-CO"/>
        </w:rPr>
        <w:t xml:space="preserve">os establecimientos de crédito y las Sociedades Especializadas en Depósitos y Pagos Electrónicos (SEDPE) deben ofrecer los siguientes trámites de apertura de depósitos electrónicos: </w:t>
      </w:r>
    </w:p>
    <w:p w14:paraId="6F854314" w14:textId="77777777" w:rsidR="00BF574E" w:rsidRPr="00D24C86" w:rsidRDefault="00BF574E" w:rsidP="00D24C86">
      <w:pPr>
        <w:pBdr>
          <w:left w:val="single" w:sz="4" w:space="1" w:color="auto"/>
        </w:pBdr>
        <w:jc w:val="both"/>
        <w:rPr>
          <w:rFonts w:cs="Arial"/>
          <w:b/>
          <w:szCs w:val="16"/>
          <w:lang w:val="es-CO"/>
        </w:rPr>
      </w:pPr>
    </w:p>
    <w:p w14:paraId="666B4A54" w14:textId="77777777" w:rsidR="00BF574E" w:rsidRPr="00D24C86" w:rsidRDefault="00BF574E" w:rsidP="00D24C86">
      <w:pPr>
        <w:pStyle w:val="Ttulo2"/>
        <w:pBdr>
          <w:left w:val="single" w:sz="4" w:space="1" w:color="auto"/>
        </w:pBdr>
      </w:pPr>
      <w:r w:rsidRPr="00D24C86">
        <w:rPr>
          <w:rFonts w:cs="Arial"/>
          <w:szCs w:val="16"/>
          <w:lang w:val="es-CO"/>
        </w:rPr>
        <w:t xml:space="preserve">6.1.1. </w:t>
      </w:r>
      <w:r w:rsidRPr="00D24C86">
        <w:t>Trámite simplificado de apertura para personas naturales</w:t>
      </w:r>
    </w:p>
    <w:p w14:paraId="3D0F604B" w14:textId="77777777" w:rsidR="00BF574E" w:rsidRPr="00D24C86" w:rsidRDefault="00BF574E" w:rsidP="00D24C86">
      <w:pPr>
        <w:pBdr>
          <w:left w:val="single" w:sz="4" w:space="1" w:color="auto"/>
        </w:pBdr>
        <w:rPr>
          <w:b/>
          <w:lang w:eastAsia="x-none"/>
        </w:rPr>
      </w:pPr>
    </w:p>
    <w:p w14:paraId="11EDE6AE" w14:textId="77777777" w:rsidR="00BF574E" w:rsidRPr="00D24C86" w:rsidRDefault="00BF574E" w:rsidP="00D24C86">
      <w:pPr>
        <w:pBdr>
          <w:left w:val="single" w:sz="4" w:space="1" w:color="auto"/>
        </w:pBdr>
        <w:jc w:val="both"/>
        <w:rPr>
          <w:rFonts w:cs="Arial"/>
          <w:b/>
          <w:szCs w:val="16"/>
          <w:lang w:val="es-CO"/>
        </w:rPr>
      </w:pPr>
      <w:r w:rsidRPr="00D24C86">
        <w:rPr>
          <w:rFonts w:cs="Arial"/>
          <w:b/>
          <w:szCs w:val="16"/>
          <w:lang w:val="es-CO"/>
        </w:rPr>
        <w:t>6.1.2. Trámite ordinario de apertura</w:t>
      </w:r>
    </w:p>
    <w:p w14:paraId="6EB754FC" w14:textId="77777777" w:rsidR="00705175" w:rsidRPr="005A3DBD" w:rsidRDefault="00705175" w:rsidP="005A3DBD">
      <w:pPr>
        <w:jc w:val="both"/>
        <w:rPr>
          <w:b/>
        </w:rPr>
      </w:pPr>
    </w:p>
    <w:p w14:paraId="0A443518" w14:textId="77777777" w:rsidR="00705175" w:rsidRPr="00EF5BE4" w:rsidRDefault="00705175" w:rsidP="00705175">
      <w:pPr>
        <w:pStyle w:val="Ttulo2"/>
      </w:pPr>
      <w:bookmarkStart w:id="3" w:name="_Toc267336150"/>
      <w:r>
        <w:t xml:space="preserve">6.2. </w:t>
      </w:r>
      <w:r w:rsidRPr="00EF5BE4">
        <w:t>Depósitos de dinero electrónico utilizados para canalizar subsidios estatales</w:t>
      </w:r>
      <w:bookmarkEnd w:id="3"/>
    </w:p>
    <w:p w14:paraId="75B5A2C5" w14:textId="77777777" w:rsidR="00705175" w:rsidRPr="00EF5BE4" w:rsidRDefault="00705175" w:rsidP="00705175">
      <w:pPr>
        <w:ind w:left="360"/>
        <w:jc w:val="both"/>
        <w:rPr>
          <w:rFonts w:cs="Arial"/>
          <w:b/>
          <w:szCs w:val="16"/>
        </w:rPr>
      </w:pPr>
    </w:p>
    <w:p w14:paraId="54326397" w14:textId="2F82B2EC" w:rsidR="00705175" w:rsidRPr="00EF5BE4" w:rsidRDefault="00705175" w:rsidP="001E4296">
      <w:pPr>
        <w:pBdr>
          <w:left w:val="single" w:sz="4" w:space="4" w:color="auto"/>
        </w:pBdr>
        <w:jc w:val="both"/>
        <w:rPr>
          <w:rFonts w:cs="Arial"/>
          <w:szCs w:val="16"/>
        </w:rPr>
      </w:pPr>
      <w:r w:rsidRPr="00EF5BE4">
        <w:rPr>
          <w:rFonts w:cs="Arial"/>
          <w:szCs w:val="16"/>
        </w:rPr>
        <w:t xml:space="preserve">Los establecimientos de crédito </w:t>
      </w:r>
      <w:r w:rsidR="00BF574E" w:rsidRPr="009E7CAE">
        <w:rPr>
          <w:rFonts w:cs="Arial"/>
          <w:b/>
          <w:szCs w:val="16"/>
        </w:rPr>
        <w:t>y las SEDPE</w:t>
      </w:r>
      <w:r w:rsidR="00BF574E">
        <w:rPr>
          <w:rFonts w:cs="Arial"/>
          <w:szCs w:val="16"/>
        </w:rPr>
        <w:t xml:space="preserve"> </w:t>
      </w:r>
      <w:r w:rsidRPr="00EF5BE4">
        <w:rPr>
          <w:rFonts w:cs="Arial"/>
          <w:szCs w:val="16"/>
        </w:rPr>
        <w:t>p</w:t>
      </w:r>
      <w:r>
        <w:rPr>
          <w:rFonts w:cs="Arial"/>
          <w:szCs w:val="16"/>
        </w:rPr>
        <w:t>ueden</w:t>
      </w:r>
      <w:r w:rsidRPr="00EF5BE4">
        <w:rPr>
          <w:rFonts w:cs="Arial"/>
          <w:szCs w:val="16"/>
        </w:rPr>
        <w:t xml:space="preserve"> ofrecer el trámite simplificado a que se refiere el subnumeral </w:t>
      </w:r>
      <w:r w:rsidRPr="00197F77">
        <w:rPr>
          <w:rFonts w:cs="Arial"/>
          <w:b/>
          <w:szCs w:val="16"/>
        </w:rPr>
        <w:t>6</w:t>
      </w:r>
      <w:r w:rsidR="00BF574E" w:rsidRPr="00197F77">
        <w:rPr>
          <w:rFonts w:cs="Arial"/>
          <w:b/>
          <w:szCs w:val="16"/>
        </w:rPr>
        <w:t>.1.1</w:t>
      </w:r>
      <w:r w:rsidR="00BF574E">
        <w:rPr>
          <w:rFonts w:cs="Arial"/>
          <w:szCs w:val="16"/>
        </w:rPr>
        <w:t>.</w:t>
      </w:r>
      <w:r w:rsidRPr="00931A31">
        <w:rPr>
          <w:rFonts w:cs="Arial"/>
          <w:szCs w:val="16"/>
        </w:rPr>
        <w:t xml:space="preserve"> </w:t>
      </w:r>
      <w:proofErr w:type="gramStart"/>
      <w:r w:rsidRPr="00931A31">
        <w:rPr>
          <w:rFonts w:cs="Arial"/>
          <w:szCs w:val="16"/>
        </w:rPr>
        <w:t>de</w:t>
      </w:r>
      <w:proofErr w:type="gramEnd"/>
      <w:r w:rsidRPr="00931A31">
        <w:rPr>
          <w:rFonts w:cs="Arial"/>
          <w:szCs w:val="16"/>
        </w:rPr>
        <w:t xml:space="preserve"> este Capítulo, para realizar la apertura de los depósitos de dinero electrónico utilizados para canalizar los recursos provenientes de</w:t>
      </w:r>
      <w:r w:rsidRPr="00EF5BE4">
        <w:rPr>
          <w:rFonts w:cs="Arial"/>
          <w:szCs w:val="16"/>
        </w:rPr>
        <w:t xml:space="preserve"> programas de ayuda y/o sub</w:t>
      </w:r>
      <w:r w:rsidR="005262B7">
        <w:rPr>
          <w:rFonts w:cs="Arial"/>
          <w:szCs w:val="16"/>
        </w:rPr>
        <w:t>sidios otorgados por el Estado c</w:t>
      </w:r>
      <w:r w:rsidRPr="00EF5BE4">
        <w:rPr>
          <w:rFonts w:cs="Arial"/>
          <w:szCs w:val="16"/>
        </w:rPr>
        <w:t xml:space="preserve">olombiano. </w:t>
      </w:r>
    </w:p>
    <w:p w14:paraId="2C2373CB" w14:textId="77777777" w:rsidR="00705175" w:rsidRPr="00EF5BE4" w:rsidRDefault="00705175" w:rsidP="00705175">
      <w:pPr>
        <w:jc w:val="both"/>
        <w:rPr>
          <w:rFonts w:cs="Arial"/>
          <w:szCs w:val="16"/>
        </w:rPr>
      </w:pPr>
    </w:p>
    <w:p w14:paraId="671E07B6" w14:textId="77777777" w:rsidR="00705175" w:rsidRPr="00EF5BE4" w:rsidRDefault="00705175" w:rsidP="00197F77">
      <w:pPr>
        <w:pBdr>
          <w:left w:val="single" w:sz="4" w:space="4" w:color="auto"/>
        </w:pBdr>
        <w:jc w:val="both"/>
        <w:rPr>
          <w:rFonts w:cs="Arial"/>
          <w:b/>
          <w:szCs w:val="16"/>
        </w:rPr>
      </w:pPr>
      <w:r w:rsidRPr="00EF5BE4">
        <w:rPr>
          <w:rFonts w:cs="Arial"/>
          <w:szCs w:val="16"/>
        </w:rPr>
        <w:t>En estos eventos, no se aplicará lo previsto en los</w:t>
      </w:r>
      <w:r>
        <w:rPr>
          <w:rFonts w:cs="Arial"/>
          <w:szCs w:val="16"/>
        </w:rPr>
        <w:t xml:space="preserve"> </w:t>
      </w:r>
      <w:r w:rsidR="00BF574E" w:rsidRPr="00197F77">
        <w:rPr>
          <w:rFonts w:cs="Arial"/>
          <w:b/>
          <w:szCs w:val="16"/>
        </w:rPr>
        <w:t>literales a. y b.</w:t>
      </w:r>
      <w:r w:rsidRPr="00197F77">
        <w:rPr>
          <w:rFonts w:cs="Arial"/>
          <w:b/>
          <w:szCs w:val="16"/>
        </w:rPr>
        <w:t xml:space="preserve"> del </w:t>
      </w:r>
      <w:r w:rsidR="00BF574E" w:rsidRPr="00197F77">
        <w:rPr>
          <w:rFonts w:cs="Arial"/>
          <w:b/>
          <w:szCs w:val="16"/>
        </w:rPr>
        <w:t xml:space="preserve">art. 2.1.15.2.2. </w:t>
      </w:r>
      <w:proofErr w:type="gramStart"/>
      <w:r w:rsidR="00BF574E" w:rsidRPr="00197F77">
        <w:rPr>
          <w:rFonts w:cs="Arial"/>
          <w:b/>
          <w:szCs w:val="16"/>
        </w:rPr>
        <w:t>del</w:t>
      </w:r>
      <w:proofErr w:type="gramEnd"/>
      <w:r w:rsidR="00BF574E" w:rsidRPr="00197F77">
        <w:rPr>
          <w:rFonts w:cs="Arial"/>
          <w:b/>
          <w:szCs w:val="16"/>
        </w:rPr>
        <w:t xml:space="preserve"> Decreto 2555 de 2010</w:t>
      </w:r>
      <w:r w:rsidRPr="00197F77">
        <w:rPr>
          <w:rFonts w:cs="Arial"/>
          <w:b/>
          <w:szCs w:val="16"/>
        </w:rPr>
        <w:t>,</w:t>
      </w:r>
      <w:r w:rsidRPr="00EF5BE4">
        <w:rPr>
          <w:rFonts w:cs="Arial"/>
          <w:szCs w:val="16"/>
        </w:rPr>
        <w:t xml:space="preserve"> relacionado con los </w:t>
      </w:r>
      <w:r w:rsidRPr="00853FED">
        <w:rPr>
          <w:rFonts w:cs="Arial"/>
          <w:b/>
          <w:szCs w:val="16"/>
        </w:rPr>
        <w:t>saldos máximos</w:t>
      </w:r>
      <w:r w:rsidR="00BF574E" w:rsidRPr="00853FED">
        <w:rPr>
          <w:rFonts w:cs="Arial"/>
          <w:b/>
          <w:szCs w:val="16"/>
        </w:rPr>
        <w:t xml:space="preserve"> y monto</w:t>
      </w:r>
      <w:r w:rsidR="00725696" w:rsidRPr="00853FED">
        <w:rPr>
          <w:rFonts w:cs="Arial"/>
          <w:b/>
          <w:szCs w:val="16"/>
        </w:rPr>
        <w:t xml:space="preserve"> de operaciones</w:t>
      </w:r>
      <w:r w:rsidRPr="00EF5BE4">
        <w:rPr>
          <w:rFonts w:cs="Arial"/>
          <w:b/>
          <w:szCs w:val="16"/>
        </w:rPr>
        <w:t>.</w:t>
      </w:r>
    </w:p>
    <w:p w14:paraId="061AD093" w14:textId="77777777" w:rsidR="00705175" w:rsidRPr="005958D1" w:rsidRDefault="00705175" w:rsidP="00705175">
      <w:pPr>
        <w:jc w:val="both"/>
        <w:rPr>
          <w:rFonts w:cs="Arial"/>
          <w:b/>
          <w:szCs w:val="16"/>
        </w:rPr>
      </w:pPr>
    </w:p>
    <w:p w14:paraId="4DC049C1" w14:textId="77777777" w:rsidR="00705175" w:rsidRPr="00EF5BE4" w:rsidRDefault="00705175" w:rsidP="00705175">
      <w:pPr>
        <w:pStyle w:val="Ttulo2"/>
      </w:pPr>
      <w:bookmarkStart w:id="4" w:name="_Toc267336151"/>
      <w:r>
        <w:t xml:space="preserve">6.3. </w:t>
      </w:r>
      <w:r w:rsidRPr="00EF5BE4">
        <w:t>Autorización de los reglamentos</w:t>
      </w:r>
      <w:bookmarkEnd w:id="4"/>
      <w:r w:rsidRPr="00EF5BE4">
        <w:t xml:space="preserve"> </w:t>
      </w:r>
    </w:p>
    <w:p w14:paraId="64DA4D59" w14:textId="77777777" w:rsidR="00705175" w:rsidRPr="00EF5BE4" w:rsidRDefault="00705175" w:rsidP="00705175">
      <w:pPr>
        <w:jc w:val="both"/>
        <w:rPr>
          <w:rFonts w:cs="Arial"/>
          <w:b/>
          <w:szCs w:val="16"/>
        </w:rPr>
      </w:pPr>
    </w:p>
    <w:p w14:paraId="25D6402D" w14:textId="77777777" w:rsidR="00705175" w:rsidRPr="00EF5BE4" w:rsidRDefault="00705175" w:rsidP="00705175">
      <w:pPr>
        <w:jc w:val="both"/>
        <w:rPr>
          <w:rFonts w:cs="Arial"/>
          <w:szCs w:val="16"/>
        </w:rPr>
      </w:pPr>
      <w:r w:rsidRPr="00EF5BE4">
        <w:rPr>
          <w:rFonts w:cs="Arial"/>
          <w:szCs w:val="16"/>
        </w:rPr>
        <w:t>Los reglamentos de los depósitos de dinero electrónico deben contar con la autorización previa y expresa de esta Superintendencia.</w:t>
      </w:r>
    </w:p>
    <w:p w14:paraId="2768C6F4" w14:textId="77777777" w:rsidR="00705175" w:rsidRPr="00EF5BE4" w:rsidRDefault="00705175" w:rsidP="00705175">
      <w:pPr>
        <w:jc w:val="both"/>
        <w:rPr>
          <w:rFonts w:cs="Arial"/>
          <w:b/>
          <w:szCs w:val="16"/>
        </w:rPr>
      </w:pPr>
    </w:p>
    <w:p w14:paraId="79A558DA" w14:textId="77777777" w:rsidR="00705175" w:rsidRPr="00EF5BE4" w:rsidRDefault="00705175" w:rsidP="00705175">
      <w:pPr>
        <w:pStyle w:val="Ttulo2"/>
      </w:pPr>
      <w:bookmarkStart w:id="5" w:name="_Toc267336152"/>
      <w:r>
        <w:t xml:space="preserve">6.4. </w:t>
      </w:r>
      <w:r w:rsidRPr="00EF5BE4">
        <w:t>Reglas especiales en materia de información</w:t>
      </w:r>
      <w:bookmarkEnd w:id="5"/>
    </w:p>
    <w:p w14:paraId="574E97B5" w14:textId="77777777" w:rsidR="00705175" w:rsidRPr="00EF5BE4" w:rsidRDefault="00705175" w:rsidP="00705175">
      <w:pPr>
        <w:jc w:val="both"/>
        <w:rPr>
          <w:rFonts w:cs="Arial"/>
          <w:b/>
          <w:szCs w:val="16"/>
        </w:rPr>
      </w:pPr>
    </w:p>
    <w:p w14:paraId="7D1EE5F9" w14:textId="77777777" w:rsidR="00705175" w:rsidRPr="00EF5BE4" w:rsidRDefault="00705175" w:rsidP="001E4296">
      <w:pPr>
        <w:pBdr>
          <w:left w:val="single" w:sz="4" w:space="4" w:color="auto"/>
        </w:pBdr>
        <w:jc w:val="both"/>
        <w:rPr>
          <w:rFonts w:cs="Arial"/>
          <w:szCs w:val="16"/>
        </w:rPr>
      </w:pPr>
      <w:r w:rsidRPr="00EF5BE4">
        <w:rPr>
          <w:rFonts w:cs="Arial"/>
          <w:szCs w:val="16"/>
        </w:rPr>
        <w:t xml:space="preserve">Además de la información que por virtud de las disposiciones legales vigentes deban divulgar los establecimientos de crédito </w:t>
      </w:r>
      <w:r w:rsidR="004C13DC" w:rsidRPr="001E4296">
        <w:rPr>
          <w:rFonts w:cs="Arial"/>
          <w:b/>
          <w:szCs w:val="16"/>
        </w:rPr>
        <w:t>y las SEDPE</w:t>
      </w:r>
      <w:r w:rsidR="004C13DC">
        <w:rPr>
          <w:rFonts w:cs="Arial"/>
          <w:szCs w:val="16"/>
        </w:rPr>
        <w:t xml:space="preserve"> </w:t>
      </w:r>
      <w:r w:rsidRPr="00EF5BE4">
        <w:rPr>
          <w:rFonts w:cs="Arial"/>
          <w:szCs w:val="16"/>
        </w:rPr>
        <w:t>a sus consumidores financieros, en materia de depósitos electrónico</w:t>
      </w:r>
      <w:r w:rsidR="004C13DC">
        <w:rPr>
          <w:rFonts w:cs="Arial"/>
          <w:szCs w:val="16"/>
        </w:rPr>
        <w:t>s</w:t>
      </w:r>
      <w:r w:rsidRPr="00EF5BE4">
        <w:rPr>
          <w:rFonts w:cs="Arial"/>
          <w:szCs w:val="16"/>
        </w:rPr>
        <w:t xml:space="preserve"> debe proveerse de manera particular, l</w:t>
      </w:r>
      <w:r>
        <w:rPr>
          <w:rFonts w:cs="Arial"/>
          <w:szCs w:val="16"/>
        </w:rPr>
        <w:t>o</w:t>
      </w:r>
      <w:r w:rsidRPr="00EF5BE4">
        <w:rPr>
          <w:rFonts w:cs="Arial"/>
          <w:szCs w:val="16"/>
        </w:rPr>
        <w:t xml:space="preserve"> siguiente:</w:t>
      </w:r>
    </w:p>
    <w:p w14:paraId="25697EE4" w14:textId="77777777" w:rsidR="00705175" w:rsidRPr="00EF5BE4" w:rsidRDefault="00705175" w:rsidP="00705175">
      <w:pPr>
        <w:jc w:val="both"/>
        <w:rPr>
          <w:rFonts w:cs="Arial"/>
          <w:b/>
          <w:szCs w:val="16"/>
        </w:rPr>
      </w:pPr>
      <w:r w:rsidRPr="00EF5BE4" w:rsidDel="00BD527E">
        <w:rPr>
          <w:rFonts w:cs="Arial"/>
          <w:szCs w:val="16"/>
        </w:rPr>
        <w:t xml:space="preserve"> </w:t>
      </w:r>
    </w:p>
    <w:p w14:paraId="5B35A700" w14:textId="77777777" w:rsidR="00705175" w:rsidRPr="00317574" w:rsidRDefault="00705175" w:rsidP="00705175">
      <w:pPr>
        <w:jc w:val="both"/>
        <w:rPr>
          <w:rFonts w:cs="Arial"/>
          <w:szCs w:val="16"/>
        </w:rPr>
      </w:pPr>
      <w:r>
        <w:rPr>
          <w:rFonts w:cs="Arial"/>
          <w:szCs w:val="16"/>
        </w:rPr>
        <w:t xml:space="preserve">6.4.1. </w:t>
      </w:r>
      <w:r w:rsidRPr="00317574">
        <w:rPr>
          <w:rFonts w:cs="Arial"/>
          <w:szCs w:val="16"/>
        </w:rPr>
        <w:t>La circunstancia de que los depósitos electrónico</w:t>
      </w:r>
      <w:r w:rsidR="004C13DC">
        <w:rPr>
          <w:rFonts w:cs="Arial"/>
          <w:szCs w:val="16"/>
        </w:rPr>
        <w:t>s</w:t>
      </w:r>
      <w:r w:rsidRPr="00317574">
        <w:rPr>
          <w:rFonts w:cs="Arial"/>
          <w:szCs w:val="16"/>
        </w:rPr>
        <w:t xml:space="preserve"> se encuentran amparados por el seguro de depósito de</w:t>
      </w:r>
      <w:r>
        <w:rPr>
          <w:rFonts w:cs="Arial"/>
          <w:szCs w:val="16"/>
        </w:rPr>
        <w:t>l</w:t>
      </w:r>
      <w:r w:rsidRPr="00317574">
        <w:rPr>
          <w:rFonts w:cs="Arial"/>
          <w:szCs w:val="16"/>
        </w:rPr>
        <w:t xml:space="preserve"> FOGAFÍN.</w:t>
      </w:r>
    </w:p>
    <w:p w14:paraId="3454915A" w14:textId="77777777" w:rsidR="00705175" w:rsidRPr="00317574" w:rsidRDefault="00705175" w:rsidP="00705175">
      <w:pPr>
        <w:jc w:val="both"/>
        <w:rPr>
          <w:rFonts w:cs="Arial"/>
          <w:szCs w:val="16"/>
        </w:rPr>
      </w:pPr>
    </w:p>
    <w:p w14:paraId="2B59082E" w14:textId="77777777" w:rsidR="00705175" w:rsidRPr="00317574" w:rsidRDefault="00705175" w:rsidP="00705175">
      <w:pPr>
        <w:jc w:val="both"/>
        <w:rPr>
          <w:rFonts w:cs="Arial"/>
          <w:szCs w:val="16"/>
        </w:rPr>
      </w:pPr>
      <w:r>
        <w:rPr>
          <w:rFonts w:cs="Arial"/>
          <w:szCs w:val="16"/>
        </w:rPr>
        <w:t xml:space="preserve">6.4.2. </w:t>
      </w:r>
      <w:r w:rsidRPr="00317574">
        <w:rPr>
          <w:rFonts w:cs="Arial"/>
          <w:szCs w:val="16"/>
        </w:rPr>
        <w:t>Los costos asociados a los depósitos electrónico</w:t>
      </w:r>
      <w:r w:rsidR="004C13DC">
        <w:rPr>
          <w:rFonts w:cs="Arial"/>
          <w:szCs w:val="16"/>
        </w:rPr>
        <w:t>s</w:t>
      </w:r>
      <w:r>
        <w:rPr>
          <w:rFonts w:cs="Arial"/>
          <w:szCs w:val="16"/>
        </w:rPr>
        <w:t>.</w:t>
      </w:r>
    </w:p>
    <w:p w14:paraId="119BA86D" w14:textId="77777777" w:rsidR="00705175" w:rsidRPr="00317574" w:rsidRDefault="00705175" w:rsidP="00705175">
      <w:pPr>
        <w:ind w:left="360"/>
        <w:jc w:val="both"/>
        <w:rPr>
          <w:rFonts w:cs="Arial"/>
          <w:szCs w:val="16"/>
        </w:rPr>
      </w:pPr>
    </w:p>
    <w:p w14:paraId="1B991DAA" w14:textId="77777777" w:rsidR="00705175" w:rsidRDefault="00705175" w:rsidP="00705175">
      <w:pPr>
        <w:jc w:val="both"/>
        <w:rPr>
          <w:rFonts w:cs="Arial"/>
          <w:szCs w:val="16"/>
        </w:rPr>
      </w:pPr>
      <w:r>
        <w:rPr>
          <w:rFonts w:cs="Arial"/>
          <w:szCs w:val="16"/>
        </w:rPr>
        <w:t xml:space="preserve">6.4.3. </w:t>
      </w:r>
      <w:r w:rsidRPr="00317574">
        <w:rPr>
          <w:rFonts w:cs="Arial"/>
          <w:szCs w:val="16"/>
        </w:rPr>
        <w:t>Las tasas de interés que las entidades decidan ofrecer a los consumidores por la captación de recursos mediante depósitos electrónico</w:t>
      </w:r>
      <w:r w:rsidR="004C13DC">
        <w:rPr>
          <w:rFonts w:cs="Arial"/>
          <w:szCs w:val="16"/>
        </w:rPr>
        <w:t>s</w:t>
      </w:r>
      <w:r w:rsidRPr="00317574">
        <w:rPr>
          <w:rFonts w:cs="Arial"/>
          <w:szCs w:val="16"/>
        </w:rPr>
        <w:t>, si a ello hubiere lugar.</w:t>
      </w:r>
    </w:p>
    <w:p w14:paraId="5C13C1D9" w14:textId="77777777" w:rsidR="00293A65" w:rsidRPr="005A3DBD" w:rsidRDefault="00293A65" w:rsidP="00705175">
      <w:pPr>
        <w:jc w:val="both"/>
      </w:pPr>
    </w:p>
    <w:p w14:paraId="7D00796B" w14:textId="77777777" w:rsidR="00293A65" w:rsidRPr="00293A65" w:rsidRDefault="00293A65" w:rsidP="00206DAB">
      <w:pPr>
        <w:pBdr>
          <w:left w:val="single" w:sz="4" w:space="4" w:color="auto"/>
        </w:pBdr>
        <w:jc w:val="both"/>
        <w:rPr>
          <w:b/>
          <w:szCs w:val="16"/>
          <w:lang w:val="es-CO"/>
        </w:rPr>
      </w:pPr>
      <w:r w:rsidRPr="00293A65">
        <w:rPr>
          <w:b/>
          <w:szCs w:val="16"/>
        </w:rPr>
        <w:t xml:space="preserve">6.4.4. En relación con los depósitos de dinero electrónico previstos en el art. 2.1.15.1.2. </w:t>
      </w:r>
      <w:proofErr w:type="gramStart"/>
      <w:r w:rsidRPr="00293A65">
        <w:rPr>
          <w:b/>
          <w:szCs w:val="16"/>
        </w:rPr>
        <w:t>del</w:t>
      </w:r>
      <w:proofErr w:type="gramEnd"/>
      <w:r w:rsidRPr="00293A65">
        <w:rPr>
          <w:b/>
          <w:szCs w:val="16"/>
        </w:rPr>
        <w:t xml:space="preserve"> Decreto 2555 de 2010, deben informar al consumidor financiero la posibilidad de hacer retiros en efectivo. </w:t>
      </w:r>
      <w:r w:rsidRPr="00293A65">
        <w:rPr>
          <w:b/>
          <w:szCs w:val="16"/>
          <w:lang w:val="es-CO"/>
        </w:rPr>
        <w:t>Así mismo, para el caso de los depósitos electrónicos transaccionales,</w:t>
      </w:r>
      <w:r w:rsidRPr="00293A65">
        <w:rPr>
          <w:b/>
          <w:szCs w:val="16"/>
        </w:rPr>
        <w:t xml:space="preserve"> </w:t>
      </w:r>
      <w:r w:rsidRPr="00293A65">
        <w:rPr>
          <w:b/>
          <w:szCs w:val="16"/>
          <w:lang w:val="es-CO"/>
        </w:rPr>
        <w:t>en los cuales se restringe la posibilidad de hacer retiros en efectivo, el cliente deberá ser informado oportunamente sobre la mencionada restricción.</w:t>
      </w:r>
    </w:p>
    <w:p w14:paraId="163F0B0A" w14:textId="77777777" w:rsidR="00705175" w:rsidRPr="00EF5BE4" w:rsidRDefault="00705175" w:rsidP="00705175">
      <w:pPr>
        <w:jc w:val="both"/>
        <w:rPr>
          <w:rFonts w:cs="Arial"/>
          <w:strike/>
          <w:szCs w:val="16"/>
          <w:lang w:val="es-CO"/>
        </w:rPr>
      </w:pPr>
    </w:p>
    <w:p w14:paraId="0B973A34" w14:textId="77777777" w:rsidR="00705175" w:rsidRPr="00EF5BE4" w:rsidRDefault="00705175" w:rsidP="00705175">
      <w:pPr>
        <w:pStyle w:val="Ttulo2"/>
      </w:pPr>
      <w:bookmarkStart w:id="6" w:name="_Toc267336153"/>
      <w:r>
        <w:t xml:space="preserve">6.5. </w:t>
      </w:r>
      <w:r w:rsidRPr="00EF5BE4">
        <w:t>Instrucciones especiales respecto de la administración del riesgo de lavado de activos y de la financiación del terrorismo</w:t>
      </w:r>
      <w:bookmarkEnd w:id="6"/>
    </w:p>
    <w:p w14:paraId="43A09FE0" w14:textId="77777777" w:rsidR="00705175" w:rsidRPr="00EF5BE4" w:rsidRDefault="00705175" w:rsidP="00705175">
      <w:pPr>
        <w:ind w:left="360"/>
        <w:jc w:val="both"/>
        <w:rPr>
          <w:rFonts w:cs="Arial"/>
          <w:b/>
          <w:szCs w:val="16"/>
        </w:rPr>
      </w:pPr>
    </w:p>
    <w:p w14:paraId="04223D0E" w14:textId="1F767CA7" w:rsidR="00705175" w:rsidRPr="00C05410" w:rsidRDefault="00705175" w:rsidP="00705175">
      <w:pPr>
        <w:pBdr>
          <w:left w:val="single" w:sz="4" w:space="4" w:color="auto"/>
        </w:pBdr>
        <w:jc w:val="both"/>
        <w:rPr>
          <w:rFonts w:cs="Arial"/>
          <w:b/>
          <w:szCs w:val="16"/>
        </w:rPr>
      </w:pPr>
      <w:r>
        <w:rPr>
          <w:rFonts w:cs="Arial"/>
          <w:szCs w:val="16"/>
        </w:rPr>
        <w:t xml:space="preserve">Respecto de los </w:t>
      </w:r>
      <w:r w:rsidRPr="00EF5BE4">
        <w:rPr>
          <w:rFonts w:cs="Arial"/>
          <w:szCs w:val="16"/>
        </w:rPr>
        <w:t>depósitos electrónico</w:t>
      </w:r>
      <w:r w:rsidR="00FA7480">
        <w:rPr>
          <w:rFonts w:cs="Arial"/>
          <w:szCs w:val="16"/>
        </w:rPr>
        <w:t>s</w:t>
      </w:r>
      <w:r w:rsidRPr="00EF5BE4">
        <w:rPr>
          <w:rFonts w:cs="Arial"/>
          <w:szCs w:val="16"/>
        </w:rPr>
        <w:t xml:space="preserve"> que cumplan las características a las que se refieren los </w:t>
      </w:r>
      <w:r w:rsidR="00FA7480" w:rsidRPr="001E4296">
        <w:rPr>
          <w:rFonts w:cs="Arial"/>
          <w:b/>
          <w:szCs w:val="16"/>
        </w:rPr>
        <w:t xml:space="preserve">artículos 2.1.15.2.2. </w:t>
      </w:r>
      <w:proofErr w:type="gramStart"/>
      <w:r w:rsidR="00FA7480" w:rsidRPr="001E4296">
        <w:rPr>
          <w:rFonts w:cs="Arial"/>
          <w:b/>
          <w:szCs w:val="16"/>
        </w:rPr>
        <w:t>y</w:t>
      </w:r>
      <w:proofErr w:type="gramEnd"/>
      <w:r w:rsidR="00FA7480" w:rsidRPr="001E4296">
        <w:rPr>
          <w:rFonts w:cs="Arial"/>
          <w:b/>
          <w:szCs w:val="16"/>
        </w:rPr>
        <w:t xml:space="preserve"> 2.1.15.2.5.</w:t>
      </w:r>
      <w:r w:rsidRPr="001E4296">
        <w:rPr>
          <w:rFonts w:cs="Arial"/>
          <w:b/>
          <w:szCs w:val="16"/>
        </w:rPr>
        <w:t xml:space="preserve"> del </w:t>
      </w:r>
      <w:r w:rsidR="00FA7480" w:rsidRPr="001E4296">
        <w:rPr>
          <w:rFonts w:cs="Arial"/>
          <w:b/>
          <w:szCs w:val="16"/>
        </w:rPr>
        <w:t>Decreto 2555 de 2010</w:t>
      </w:r>
      <w:r w:rsidRPr="00EF5BE4">
        <w:rPr>
          <w:rFonts w:cs="Arial"/>
          <w:szCs w:val="16"/>
        </w:rPr>
        <w:t xml:space="preserve">, los establecimientos de crédito </w:t>
      </w:r>
      <w:r w:rsidR="00FA7480">
        <w:rPr>
          <w:rFonts w:cs="Arial"/>
          <w:szCs w:val="16"/>
        </w:rPr>
        <w:t xml:space="preserve">y las SEDPE </w:t>
      </w:r>
      <w:r w:rsidRPr="00EF5BE4">
        <w:rPr>
          <w:rFonts w:cs="Arial"/>
          <w:szCs w:val="16"/>
        </w:rPr>
        <w:t xml:space="preserve">deben atender las disposiciones especiales para la gestión y administración del riesgo de lavado de activos y de la financiación del terrorismo previstas por esta </w:t>
      </w:r>
      <w:r w:rsidRPr="00197F77">
        <w:rPr>
          <w:rFonts w:cs="Arial"/>
          <w:szCs w:val="16"/>
        </w:rPr>
        <w:t>Superintendencia en el Capítulo IV, Título IV de la Parte I de esta Circular</w:t>
      </w:r>
      <w:r w:rsidR="00197245">
        <w:rPr>
          <w:rFonts w:cs="Arial"/>
          <w:szCs w:val="16"/>
        </w:rPr>
        <w:t>.</w:t>
      </w:r>
    </w:p>
    <w:p w14:paraId="308CEC0C" w14:textId="77777777" w:rsidR="00705175" w:rsidRPr="00EF5BE4" w:rsidRDefault="00705175" w:rsidP="00705175">
      <w:pPr>
        <w:jc w:val="both"/>
        <w:rPr>
          <w:rFonts w:cs="Arial"/>
          <w:szCs w:val="16"/>
        </w:rPr>
      </w:pPr>
    </w:p>
    <w:p w14:paraId="29485769" w14:textId="77777777" w:rsidR="00E26814" w:rsidRPr="005958D1" w:rsidRDefault="00705175" w:rsidP="001E4296">
      <w:pPr>
        <w:pBdr>
          <w:left w:val="single" w:sz="4" w:space="4" w:color="auto"/>
        </w:pBdr>
        <w:jc w:val="both"/>
        <w:rPr>
          <w:rFonts w:cs="Arial"/>
          <w:szCs w:val="16"/>
        </w:rPr>
      </w:pPr>
      <w:r w:rsidRPr="00EF5BE4">
        <w:rPr>
          <w:rFonts w:cs="Arial"/>
          <w:szCs w:val="16"/>
        </w:rPr>
        <w:t xml:space="preserve">En todo caso, los establecimientos de crédito </w:t>
      </w:r>
      <w:r w:rsidR="00305B42" w:rsidRPr="001E4296">
        <w:rPr>
          <w:rFonts w:cs="Arial"/>
          <w:b/>
          <w:szCs w:val="16"/>
        </w:rPr>
        <w:t>y las SEDPE</w:t>
      </w:r>
      <w:r w:rsidR="00305B42">
        <w:rPr>
          <w:rFonts w:cs="Arial"/>
          <w:szCs w:val="16"/>
        </w:rPr>
        <w:t xml:space="preserve"> </w:t>
      </w:r>
      <w:r w:rsidRPr="00EF5BE4">
        <w:rPr>
          <w:rFonts w:cs="Arial"/>
          <w:szCs w:val="16"/>
        </w:rPr>
        <w:t>deben adoptar mecanismos especiales en sus sistemas de administración del riesgo de lavado de activos y de la financiación del terrorismo, que consideren las características particulares de tales depósitos.</w:t>
      </w:r>
    </w:p>
    <w:sectPr w:rsidR="00E26814" w:rsidRPr="005958D1" w:rsidSect="00705175">
      <w:headerReference w:type="default" r:id="rId11"/>
      <w:footerReference w:type="default" r:id="rId12"/>
      <w:pgSz w:w="12240" w:h="18720" w:code="14"/>
      <w:pgMar w:top="1418" w:right="1701" w:bottom="1418" w:left="1701" w:header="1134" w:footer="1134" w:gutter="0"/>
      <w:paperSrc w:first="15" w:other="15"/>
      <w:pgNumType w:start="6"/>
      <w:cols w:space="720"/>
      <w:noEndnote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68E37" w14:textId="77777777" w:rsidR="003E4661" w:rsidRDefault="003E4661">
      <w:r>
        <w:separator/>
      </w:r>
    </w:p>
  </w:endnote>
  <w:endnote w:type="continuationSeparator" w:id="0">
    <w:p w14:paraId="65EAE2A5" w14:textId="77777777" w:rsidR="003E4661" w:rsidRDefault="003E4661">
      <w:r>
        <w:continuationSeparator/>
      </w:r>
    </w:p>
  </w:endnote>
  <w:endnote w:type="continuationNotice" w:id="1">
    <w:p w14:paraId="19ABEF07" w14:textId="77777777" w:rsidR="003E4661" w:rsidRDefault="003E4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5DA33" w14:textId="77777777" w:rsidR="0087308F" w:rsidRDefault="0087308F" w:rsidP="003060B6">
    <w:pPr>
      <w:pStyle w:val="Piedepgina"/>
      <w:ind w:left="0" w:firstLine="0"/>
      <w:rPr>
        <w:b/>
        <w:sz w:val="18"/>
        <w:szCs w:val="18"/>
      </w:rPr>
    </w:pPr>
  </w:p>
  <w:p w14:paraId="35A0AFB1" w14:textId="77777777" w:rsidR="0087308F" w:rsidRPr="003060B6" w:rsidRDefault="0087308F" w:rsidP="003060B6">
    <w:pPr>
      <w:pStyle w:val="Piedepgina"/>
      <w:ind w:left="0" w:firstLine="0"/>
      <w:rPr>
        <w:b/>
        <w:sz w:val="18"/>
        <w:szCs w:val="18"/>
      </w:rPr>
    </w:pPr>
    <w:r w:rsidRPr="003060B6">
      <w:rPr>
        <w:b/>
        <w:sz w:val="18"/>
        <w:szCs w:val="18"/>
      </w:rPr>
      <w:t xml:space="preserve">PARTE II – TÍTULO I – CAPÍTULO III </w:t>
    </w:r>
    <w:r w:rsidRPr="003060B6">
      <w:rPr>
        <w:b/>
        <w:sz w:val="18"/>
        <w:szCs w:val="18"/>
      </w:rPr>
      <w:tab/>
    </w:r>
    <w:r w:rsidRPr="003060B6">
      <w:rPr>
        <w:b/>
        <w:sz w:val="18"/>
        <w:szCs w:val="18"/>
      </w:rPr>
      <w:tab/>
      <w:t xml:space="preserve">   </w:t>
    </w:r>
  </w:p>
  <w:p w14:paraId="7080F8FB" w14:textId="221E4D15" w:rsidR="001E4296" w:rsidRPr="00251916" w:rsidRDefault="001E4296" w:rsidP="001E4296">
    <w:pPr>
      <w:pStyle w:val="Piedepgina"/>
      <w:tabs>
        <w:tab w:val="center" w:pos="8647"/>
      </w:tabs>
      <w:ind w:left="567"/>
    </w:pPr>
    <w:r w:rsidRPr="000B3A0F">
      <w:rPr>
        <w:b/>
        <w:sz w:val="18"/>
        <w:szCs w:val="18"/>
      </w:rPr>
      <w:t xml:space="preserve">Circular Externa </w:t>
    </w:r>
    <w:r w:rsidR="002A2441">
      <w:rPr>
        <w:b/>
        <w:sz w:val="18"/>
        <w:szCs w:val="18"/>
      </w:rPr>
      <w:t>050</w:t>
    </w:r>
    <w:r>
      <w:rPr>
        <w:b/>
        <w:sz w:val="18"/>
        <w:szCs w:val="18"/>
      </w:rPr>
      <w:t xml:space="preserve"> de 2016</w:t>
    </w:r>
    <w:r w:rsidRPr="000B3A0F">
      <w:rPr>
        <w:b/>
        <w:sz w:val="18"/>
        <w:szCs w:val="18"/>
      </w:rPr>
      <w:t xml:space="preserve">                                                                   </w:t>
    </w:r>
    <w:r w:rsidR="00E97E60">
      <w:rPr>
        <w:b/>
        <w:sz w:val="18"/>
        <w:szCs w:val="18"/>
      </w:rPr>
      <w:t xml:space="preserve">    </w:t>
    </w:r>
    <w:r w:rsidR="00064071">
      <w:rPr>
        <w:b/>
        <w:sz w:val="18"/>
        <w:szCs w:val="18"/>
      </w:rPr>
      <w:t xml:space="preserve">                      </w:t>
    </w:r>
    <w:r w:rsidR="00197245">
      <w:rPr>
        <w:b/>
        <w:sz w:val="18"/>
        <w:szCs w:val="18"/>
      </w:rPr>
      <w:t>Diciembre</w:t>
    </w:r>
    <w:r w:rsidR="00197245" w:rsidRPr="000B3A0F">
      <w:rPr>
        <w:b/>
        <w:sz w:val="18"/>
        <w:szCs w:val="18"/>
      </w:rPr>
      <w:t xml:space="preserve"> </w:t>
    </w:r>
    <w:r w:rsidRPr="000B3A0F">
      <w:rPr>
        <w:b/>
        <w:sz w:val="18"/>
        <w:szCs w:val="18"/>
      </w:rPr>
      <w:t>de 201</w:t>
    </w:r>
    <w:r w:rsidR="00E97E60">
      <w:rPr>
        <w:b/>
        <w:sz w:val="18"/>
        <w:szCs w:val="18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BE009" w14:textId="77777777" w:rsidR="00705175" w:rsidRDefault="00705175" w:rsidP="003060B6">
    <w:pPr>
      <w:pStyle w:val="Piedepgina"/>
      <w:ind w:left="0" w:firstLine="0"/>
      <w:rPr>
        <w:b/>
        <w:sz w:val="18"/>
        <w:szCs w:val="18"/>
      </w:rPr>
    </w:pPr>
  </w:p>
  <w:p w14:paraId="6FFE92CE" w14:textId="77777777" w:rsidR="00705175" w:rsidRPr="003060B6" w:rsidRDefault="00705175" w:rsidP="003060B6">
    <w:pPr>
      <w:pStyle w:val="Piedepgina"/>
      <w:ind w:left="0" w:firstLine="0"/>
      <w:rPr>
        <w:b/>
        <w:sz w:val="18"/>
        <w:szCs w:val="18"/>
      </w:rPr>
    </w:pPr>
    <w:r w:rsidRPr="003060B6">
      <w:rPr>
        <w:b/>
        <w:sz w:val="18"/>
        <w:szCs w:val="18"/>
      </w:rPr>
      <w:t xml:space="preserve">PARTE II – TÍTULO I – CAPÍTULO III </w:t>
    </w:r>
    <w:r w:rsidRPr="003060B6">
      <w:rPr>
        <w:b/>
        <w:sz w:val="18"/>
        <w:szCs w:val="18"/>
      </w:rPr>
      <w:tab/>
    </w:r>
    <w:r w:rsidRPr="003060B6">
      <w:rPr>
        <w:b/>
        <w:sz w:val="18"/>
        <w:szCs w:val="18"/>
      </w:rPr>
      <w:tab/>
    </w:r>
    <w:r w:rsidR="00013F6E">
      <w:rPr>
        <w:b/>
        <w:sz w:val="18"/>
        <w:szCs w:val="18"/>
      </w:rPr>
      <w:t xml:space="preserve">      </w:t>
    </w:r>
    <w:r w:rsidRPr="003060B6">
      <w:rPr>
        <w:b/>
        <w:sz w:val="18"/>
        <w:szCs w:val="18"/>
      </w:rPr>
      <w:t xml:space="preserve">PÁGINA   </w:t>
    </w:r>
    <w:r w:rsidR="00D24C86">
      <w:rPr>
        <w:b/>
        <w:sz w:val="18"/>
        <w:szCs w:val="18"/>
      </w:rPr>
      <w:t>5</w:t>
    </w:r>
  </w:p>
  <w:p w14:paraId="1452EB5D" w14:textId="463C379F" w:rsidR="00013F6E" w:rsidRPr="00251916" w:rsidRDefault="00013F6E" w:rsidP="00013F6E">
    <w:pPr>
      <w:pStyle w:val="Piedepgina"/>
      <w:tabs>
        <w:tab w:val="center" w:pos="8647"/>
      </w:tabs>
      <w:ind w:left="567"/>
    </w:pPr>
    <w:r w:rsidRPr="000B3A0F">
      <w:rPr>
        <w:b/>
        <w:sz w:val="18"/>
        <w:szCs w:val="18"/>
      </w:rPr>
      <w:t xml:space="preserve">Circular Externa </w:t>
    </w:r>
    <w:r w:rsidR="002A2441">
      <w:rPr>
        <w:b/>
        <w:sz w:val="18"/>
        <w:szCs w:val="18"/>
      </w:rPr>
      <w:t>050</w:t>
    </w:r>
    <w:r>
      <w:rPr>
        <w:b/>
        <w:sz w:val="18"/>
        <w:szCs w:val="18"/>
      </w:rPr>
      <w:t xml:space="preserve"> de 2016</w:t>
    </w:r>
    <w:r w:rsidRPr="000B3A0F">
      <w:rPr>
        <w:b/>
        <w:sz w:val="18"/>
        <w:szCs w:val="18"/>
      </w:rPr>
      <w:t xml:space="preserve">                                                                   </w:t>
    </w:r>
    <w:r>
      <w:rPr>
        <w:b/>
        <w:sz w:val="18"/>
        <w:szCs w:val="18"/>
      </w:rPr>
      <w:t xml:space="preserve">                          </w:t>
    </w:r>
    <w:r w:rsidR="00197245">
      <w:rPr>
        <w:b/>
        <w:sz w:val="18"/>
        <w:szCs w:val="18"/>
      </w:rPr>
      <w:t>Diciembre</w:t>
    </w:r>
    <w:r w:rsidR="00197245" w:rsidRPr="000B3A0F">
      <w:rPr>
        <w:b/>
        <w:sz w:val="18"/>
        <w:szCs w:val="18"/>
      </w:rPr>
      <w:t xml:space="preserve"> </w:t>
    </w:r>
    <w:r w:rsidRPr="000B3A0F">
      <w:rPr>
        <w:b/>
        <w:sz w:val="18"/>
        <w:szCs w:val="18"/>
      </w:rPr>
      <w:t>de 201</w:t>
    </w:r>
    <w:r>
      <w:rPr>
        <w:b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FF081" w14:textId="77777777" w:rsidR="003E4661" w:rsidRDefault="003E4661">
      <w:r>
        <w:separator/>
      </w:r>
    </w:p>
  </w:footnote>
  <w:footnote w:type="continuationSeparator" w:id="0">
    <w:p w14:paraId="1ABCCABA" w14:textId="77777777" w:rsidR="003E4661" w:rsidRDefault="003E4661">
      <w:r>
        <w:continuationSeparator/>
      </w:r>
    </w:p>
  </w:footnote>
  <w:footnote w:type="continuationNotice" w:id="1">
    <w:p w14:paraId="18251A8E" w14:textId="77777777" w:rsidR="003E4661" w:rsidRDefault="003E46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E22D2" w14:textId="77777777" w:rsidR="0087308F" w:rsidRPr="00E15ABB" w:rsidRDefault="0087308F" w:rsidP="00CE1216">
    <w:pPr>
      <w:pStyle w:val="Encabezado"/>
      <w:jc w:val="center"/>
      <w:rPr>
        <w:rFonts w:cs="Arial"/>
        <w:szCs w:val="24"/>
      </w:rPr>
    </w:pPr>
    <w:r w:rsidRPr="00E15ABB">
      <w:rPr>
        <w:rFonts w:cs="Arial"/>
        <w:b/>
        <w:szCs w:val="24"/>
      </w:rPr>
      <w:t>SUPERINTENDENCIA FINANCIERA DE COLOMBIA</w:t>
    </w:r>
  </w:p>
  <w:p w14:paraId="6B9ABDA9" w14:textId="77777777" w:rsidR="0087308F" w:rsidRDefault="0087308F" w:rsidP="003060B6">
    <w:pPr>
      <w:pStyle w:val="Encabezado"/>
      <w:tabs>
        <w:tab w:val="clear" w:pos="4252"/>
        <w:tab w:val="clear" w:pos="8504"/>
        <w:tab w:val="left" w:pos="2154"/>
      </w:tabs>
      <w:ind w:left="0" w:firstLine="0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54B9D" w14:textId="77777777" w:rsidR="00705175" w:rsidRPr="00E15ABB" w:rsidRDefault="00705175" w:rsidP="00CE1216">
    <w:pPr>
      <w:pStyle w:val="Encabezado"/>
      <w:jc w:val="center"/>
      <w:rPr>
        <w:rFonts w:cs="Arial"/>
        <w:szCs w:val="24"/>
      </w:rPr>
    </w:pPr>
    <w:r w:rsidRPr="00E15ABB">
      <w:rPr>
        <w:rFonts w:cs="Arial"/>
        <w:b/>
        <w:szCs w:val="24"/>
      </w:rPr>
      <w:t>SUPERINTENDENCIA FINANCIERA DE COLOMBIA</w:t>
    </w:r>
  </w:p>
  <w:p w14:paraId="5E928B1E" w14:textId="77777777" w:rsidR="00705175" w:rsidRDefault="00705175" w:rsidP="003060B6">
    <w:pPr>
      <w:pStyle w:val="Encabezado"/>
      <w:tabs>
        <w:tab w:val="clear" w:pos="4252"/>
        <w:tab w:val="clear" w:pos="8504"/>
        <w:tab w:val="left" w:pos="2154"/>
      </w:tabs>
      <w:ind w:left="0" w:firstLine="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404E6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B7685"/>
    <w:multiLevelType w:val="multilevel"/>
    <w:tmpl w:val="0F7A28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06067D4"/>
    <w:multiLevelType w:val="multilevel"/>
    <w:tmpl w:val="FF32A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2A44DDE"/>
    <w:multiLevelType w:val="hybridMultilevel"/>
    <w:tmpl w:val="1BF27510"/>
    <w:lvl w:ilvl="0" w:tplc="545A766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F0D7491"/>
    <w:multiLevelType w:val="hybridMultilevel"/>
    <w:tmpl w:val="7F22B91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4C5E4B"/>
    <w:multiLevelType w:val="multilevel"/>
    <w:tmpl w:val="769E26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1E33CA1"/>
    <w:multiLevelType w:val="hybridMultilevel"/>
    <w:tmpl w:val="4CFE146C"/>
    <w:lvl w:ilvl="0" w:tplc="5B36C2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BC49B8"/>
    <w:multiLevelType w:val="hybridMultilevel"/>
    <w:tmpl w:val="58FE5FE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A32B40"/>
    <w:multiLevelType w:val="hybridMultilevel"/>
    <w:tmpl w:val="7F22B91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02020F"/>
    <w:multiLevelType w:val="multilevel"/>
    <w:tmpl w:val="2B18AA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E35886"/>
    <w:multiLevelType w:val="multilevel"/>
    <w:tmpl w:val="CD8C10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9FE71F7"/>
    <w:multiLevelType w:val="hybridMultilevel"/>
    <w:tmpl w:val="CB7AB2AC"/>
    <w:lvl w:ilvl="0" w:tplc="240A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9B3B63"/>
    <w:multiLevelType w:val="hybridMultilevel"/>
    <w:tmpl w:val="2D48B036"/>
    <w:lvl w:ilvl="0" w:tplc="0C0A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B25AE9"/>
    <w:multiLevelType w:val="hybridMultilevel"/>
    <w:tmpl w:val="CAE8BA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571EA"/>
    <w:multiLevelType w:val="hybridMultilevel"/>
    <w:tmpl w:val="7F22B91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BF7A3B"/>
    <w:multiLevelType w:val="hybridMultilevel"/>
    <w:tmpl w:val="2B18AAF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6B7888"/>
    <w:multiLevelType w:val="hybridMultilevel"/>
    <w:tmpl w:val="75944664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773D4A"/>
    <w:multiLevelType w:val="hybridMultilevel"/>
    <w:tmpl w:val="4CACC6BC"/>
    <w:lvl w:ilvl="0" w:tplc="420297A0">
      <w:start w:val="1"/>
      <w:numFmt w:val="lowerRoman"/>
      <w:lvlText w:val="(%1)"/>
      <w:lvlJc w:val="left"/>
      <w:pPr>
        <w:tabs>
          <w:tab w:val="num" w:pos="795"/>
        </w:tabs>
        <w:ind w:left="795" w:hanging="72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59EB4629"/>
    <w:multiLevelType w:val="multilevel"/>
    <w:tmpl w:val="BA0E420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6CF36EDD"/>
    <w:multiLevelType w:val="hybridMultilevel"/>
    <w:tmpl w:val="4CACC6BC"/>
    <w:lvl w:ilvl="0" w:tplc="420297A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65A3804"/>
    <w:multiLevelType w:val="hybridMultilevel"/>
    <w:tmpl w:val="1BF27510"/>
    <w:lvl w:ilvl="0" w:tplc="545A766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B5E1F99"/>
    <w:multiLevelType w:val="hybridMultilevel"/>
    <w:tmpl w:val="E5ACB934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5"/>
  </w:num>
  <w:num w:numId="5">
    <w:abstractNumId w:val="12"/>
  </w:num>
  <w:num w:numId="6">
    <w:abstractNumId w:val="17"/>
  </w:num>
  <w:num w:numId="7">
    <w:abstractNumId w:val="9"/>
  </w:num>
  <w:num w:numId="8">
    <w:abstractNumId w:val="6"/>
  </w:num>
  <w:num w:numId="9">
    <w:abstractNumId w:val="4"/>
  </w:num>
  <w:num w:numId="10">
    <w:abstractNumId w:val="18"/>
  </w:num>
  <w:num w:numId="11">
    <w:abstractNumId w:val="10"/>
  </w:num>
  <w:num w:numId="12">
    <w:abstractNumId w:val="14"/>
  </w:num>
  <w:num w:numId="13">
    <w:abstractNumId w:val="11"/>
  </w:num>
  <w:num w:numId="14">
    <w:abstractNumId w:val="3"/>
  </w:num>
  <w:num w:numId="15">
    <w:abstractNumId w:val="20"/>
  </w:num>
  <w:num w:numId="16">
    <w:abstractNumId w:val="19"/>
  </w:num>
  <w:num w:numId="17">
    <w:abstractNumId w:val="0"/>
  </w:num>
  <w:num w:numId="18">
    <w:abstractNumId w:val="16"/>
  </w:num>
  <w:num w:numId="19">
    <w:abstractNumId w:val="21"/>
  </w:num>
  <w:num w:numId="20">
    <w:abstractNumId w:val="2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22"/>
    <w:rsid w:val="00013F6E"/>
    <w:rsid w:val="00017363"/>
    <w:rsid w:val="00022DB2"/>
    <w:rsid w:val="00031B85"/>
    <w:rsid w:val="00031E98"/>
    <w:rsid w:val="000330B2"/>
    <w:rsid w:val="00041520"/>
    <w:rsid w:val="00050777"/>
    <w:rsid w:val="0005442C"/>
    <w:rsid w:val="000569B3"/>
    <w:rsid w:val="00064071"/>
    <w:rsid w:val="00065076"/>
    <w:rsid w:val="00073FD3"/>
    <w:rsid w:val="000778A8"/>
    <w:rsid w:val="00077930"/>
    <w:rsid w:val="00080B91"/>
    <w:rsid w:val="00082CD4"/>
    <w:rsid w:val="00094CC8"/>
    <w:rsid w:val="000B0FE9"/>
    <w:rsid w:val="000B4A02"/>
    <w:rsid w:val="000B4CDE"/>
    <w:rsid w:val="000B6E8D"/>
    <w:rsid w:val="000B7CE7"/>
    <w:rsid w:val="000C0ED4"/>
    <w:rsid w:val="000C7303"/>
    <w:rsid w:val="000D304D"/>
    <w:rsid w:val="000D66A2"/>
    <w:rsid w:val="000F4834"/>
    <w:rsid w:val="0010324F"/>
    <w:rsid w:val="00112E81"/>
    <w:rsid w:val="00115B80"/>
    <w:rsid w:val="00117C91"/>
    <w:rsid w:val="00145AD4"/>
    <w:rsid w:val="00162C78"/>
    <w:rsid w:val="0018682E"/>
    <w:rsid w:val="0019480E"/>
    <w:rsid w:val="00197245"/>
    <w:rsid w:val="00197F77"/>
    <w:rsid w:val="001A1CE6"/>
    <w:rsid w:val="001A4B90"/>
    <w:rsid w:val="001A6083"/>
    <w:rsid w:val="001A621C"/>
    <w:rsid w:val="001A65E8"/>
    <w:rsid w:val="001A661A"/>
    <w:rsid w:val="001B46CC"/>
    <w:rsid w:val="001B5894"/>
    <w:rsid w:val="001E0322"/>
    <w:rsid w:val="001E4291"/>
    <w:rsid w:val="001E4296"/>
    <w:rsid w:val="001F2517"/>
    <w:rsid w:val="00204B30"/>
    <w:rsid w:val="00206DAB"/>
    <w:rsid w:val="002230E1"/>
    <w:rsid w:val="002337C8"/>
    <w:rsid w:val="002359D3"/>
    <w:rsid w:val="00241D43"/>
    <w:rsid w:val="00242A86"/>
    <w:rsid w:val="002442C2"/>
    <w:rsid w:val="002445FD"/>
    <w:rsid w:val="00251916"/>
    <w:rsid w:val="002563C8"/>
    <w:rsid w:val="00264A70"/>
    <w:rsid w:val="002704AC"/>
    <w:rsid w:val="00273029"/>
    <w:rsid w:val="00274932"/>
    <w:rsid w:val="00277B46"/>
    <w:rsid w:val="00282238"/>
    <w:rsid w:val="00282246"/>
    <w:rsid w:val="00285C8D"/>
    <w:rsid w:val="00293A65"/>
    <w:rsid w:val="0029786C"/>
    <w:rsid w:val="002A2441"/>
    <w:rsid w:val="002A25E4"/>
    <w:rsid w:val="002A4722"/>
    <w:rsid w:val="002A753A"/>
    <w:rsid w:val="002E3795"/>
    <w:rsid w:val="002F0B27"/>
    <w:rsid w:val="002F1E29"/>
    <w:rsid w:val="00305B42"/>
    <w:rsid w:val="003060B6"/>
    <w:rsid w:val="00317574"/>
    <w:rsid w:val="003209EA"/>
    <w:rsid w:val="00320CF2"/>
    <w:rsid w:val="003210DD"/>
    <w:rsid w:val="00322203"/>
    <w:rsid w:val="0033189D"/>
    <w:rsid w:val="00335E4A"/>
    <w:rsid w:val="003437AA"/>
    <w:rsid w:val="00380F5E"/>
    <w:rsid w:val="00381E49"/>
    <w:rsid w:val="00382030"/>
    <w:rsid w:val="00385A56"/>
    <w:rsid w:val="00386EB7"/>
    <w:rsid w:val="00391F69"/>
    <w:rsid w:val="00392461"/>
    <w:rsid w:val="00393CE0"/>
    <w:rsid w:val="003A03B7"/>
    <w:rsid w:val="003A2678"/>
    <w:rsid w:val="003A2B9E"/>
    <w:rsid w:val="003A7126"/>
    <w:rsid w:val="003B35AA"/>
    <w:rsid w:val="003C24C2"/>
    <w:rsid w:val="003C48F2"/>
    <w:rsid w:val="003D7A09"/>
    <w:rsid w:val="003E4661"/>
    <w:rsid w:val="003F120D"/>
    <w:rsid w:val="00400522"/>
    <w:rsid w:val="0040103D"/>
    <w:rsid w:val="00403CEA"/>
    <w:rsid w:val="00405B6D"/>
    <w:rsid w:val="004063D4"/>
    <w:rsid w:val="00411374"/>
    <w:rsid w:val="00411CD1"/>
    <w:rsid w:val="004174A9"/>
    <w:rsid w:val="004216D4"/>
    <w:rsid w:val="004334D2"/>
    <w:rsid w:val="00436511"/>
    <w:rsid w:val="004424D2"/>
    <w:rsid w:val="00462B98"/>
    <w:rsid w:val="00462C0E"/>
    <w:rsid w:val="00463B29"/>
    <w:rsid w:val="00470831"/>
    <w:rsid w:val="00471DEC"/>
    <w:rsid w:val="0047794B"/>
    <w:rsid w:val="00485C67"/>
    <w:rsid w:val="004A4A56"/>
    <w:rsid w:val="004A70CA"/>
    <w:rsid w:val="004B642F"/>
    <w:rsid w:val="004C13DC"/>
    <w:rsid w:val="004D57D9"/>
    <w:rsid w:val="004E0D8F"/>
    <w:rsid w:val="004E1767"/>
    <w:rsid w:val="004F2FB3"/>
    <w:rsid w:val="004F38BB"/>
    <w:rsid w:val="00513F3F"/>
    <w:rsid w:val="005160D9"/>
    <w:rsid w:val="00517AD9"/>
    <w:rsid w:val="00517E7B"/>
    <w:rsid w:val="005262B7"/>
    <w:rsid w:val="005268B7"/>
    <w:rsid w:val="005373AD"/>
    <w:rsid w:val="005545AD"/>
    <w:rsid w:val="0056402D"/>
    <w:rsid w:val="0056462F"/>
    <w:rsid w:val="00566DE9"/>
    <w:rsid w:val="00566F36"/>
    <w:rsid w:val="00567CA8"/>
    <w:rsid w:val="005825F7"/>
    <w:rsid w:val="005958D1"/>
    <w:rsid w:val="005A3DBD"/>
    <w:rsid w:val="005A6391"/>
    <w:rsid w:val="005C252C"/>
    <w:rsid w:val="005C5DCF"/>
    <w:rsid w:val="005D727B"/>
    <w:rsid w:val="005E0802"/>
    <w:rsid w:val="005E3568"/>
    <w:rsid w:val="005E5297"/>
    <w:rsid w:val="005F3336"/>
    <w:rsid w:val="005F3C5F"/>
    <w:rsid w:val="00611CA6"/>
    <w:rsid w:val="006213E5"/>
    <w:rsid w:val="0063574A"/>
    <w:rsid w:val="006436AF"/>
    <w:rsid w:val="00646EBE"/>
    <w:rsid w:val="00653C13"/>
    <w:rsid w:val="00660873"/>
    <w:rsid w:val="00672124"/>
    <w:rsid w:val="006757BD"/>
    <w:rsid w:val="0068203F"/>
    <w:rsid w:val="00692C42"/>
    <w:rsid w:val="00696076"/>
    <w:rsid w:val="00697A37"/>
    <w:rsid w:val="006A1272"/>
    <w:rsid w:val="006A349C"/>
    <w:rsid w:val="006D0C7D"/>
    <w:rsid w:val="006D627B"/>
    <w:rsid w:val="006F4284"/>
    <w:rsid w:val="007009F1"/>
    <w:rsid w:val="00705175"/>
    <w:rsid w:val="00725696"/>
    <w:rsid w:val="0074165E"/>
    <w:rsid w:val="0074519B"/>
    <w:rsid w:val="0075120E"/>
    <w:rsid w:val="0075760E"/>
    <w:rsid w:val="00767700"/>
    <w:rsid w:val="007778C3"/>
    <w:rsid w:val="00780BCD"/>
    <w:rsid w:val="00782104"/>
    <w:rsid w:val="00784A4B"/>
    <w:rsid w:val="00786D5E"/>
    <w:rsid w:val="0078735B"/>
    <w:rsid w:val="007A43F9"/>
    <w:rsid w:val="007E19DA"/>
    <w:rsid w:val="007F581E"/>
    <w:rsid w:val="008063CF"/>
    <w:rsid w:val="0081164D"/>
    <w:rsid w:val="00820832"/>
    <w:rsid w:val="00836BE7"/>
    <w:rsid w:val="0084163A"/>
    <w:rsid w:val="00845CC0"/>
    <w:rsid w:val="00847E08"/>
    <w:rsid w:val="00853FED"/>
    <w:rsid w:val="00854D65"/>
    <w:rsid w:val="008632FC"/>
    <w:rsid w:val="0086348C"/>
    <w:rsid w:val="00863B70"/>
    <w:rsid w:val="0087308F"/>
    <w:rsid w:val="00881DC8"/>
    <w:rsid w:val="008937A2"/>
    <w:rsid w:val="00896D93"/>
    <w:rsid w:val="008A35E6"/>
    <w:rsid w:val="008B26B4"/>
    <w:rsid w:val="008B6219"/>
    <w:rsid w:val="008C07EB"/>
    <w:rsid w:val="008C6920"/>
    <w:rsid w:val="008F622B"/>
    <w:rsid w:val="00902E1A"/>
    <w:rsid w:val="0091478C"/>
    <w:rsid w:val="009152B8"/>
    <w:rsid w:val="00920389"/>
    <w:rsid w:val="00931A31"/>
    <w:rsid w:val="0093253D"/>
    <w:rsid w:val="009421C2"/>
    <w:rsid w:val="00945FC5"/>
    <w:rsid w:val="009478D3"/>
    <w:rsid w:val="00953706"/>
    <w:rsid w:val="0096257C"/>
    <w:rsid w:val="009650A8"/>
    <w:rsid w:val="009735E2"/>
    <w:rsid w:val="00973C4E"/>
    <w:rsid w:val="009765F0"/>
    <w:rsid w:val="00980231"/>
    <w:rsid w:val="0099061D"/>
    <w:rsid w:val="00991510"/>
    <w:rsid w:val="00996219"/>
    <w:rsid w:val="009A576C"/>
    <w:rsid w:val="009B4938"/>
    <w:rsid w:val="009B76AB"/>
    <w:rsid w:val="009C454A"/>
    <w:rsid w:val="009D3FBC"/>
    <w:rsid w:val="009D778E"/>
    <w:rsid w:val="009E7CAE"/>
    <w:rsid w:val="009F0971"/>
    <w:rsid w:val="009F4415"/>
    <w:rsid w:val="009F79BC"/>
    <w:rsid w:val="009F7B89"/>
    <w:rsid w:val="00A052C2"/>
    <w:rsid w:val="00A517D9"/>
    <w:rsid w:val="00A74B65"/>
    <w:rsid w:val="00A84EAB"/>
    <w:rsid w:val="00A975B8"/>
    <w:rsid w:val="00AA2CF0"/>
    <w:rsid w:val="00AA42E3"/>
    <w:rsid w:val="00AB1122"/>
    <w:rsid w:val="00AB3E19"/>
    <w:rsid w:val="00AB4E69"/>
    <w:rsid w:val="00AC6D0D"/>
    <w:rsid w:val="00AD6A60"/>
    <w:rsid w:val="00AE2AEF"/>
    <w:rsid w:val="00AE6E83"/>
    <w:rsid w:val="00AF4FD4"/>
    <w:rsid w:val="00B00A42"/>
    <w:rsid w:val="00B00ECF"/>
    <w:rsid w:val="00B05391"/>
    <w:rsid w:val="00B066D5"/>
    <w:rsid w:val="00B10A03"/>
    <w:rsid w:val="00B15464"/>
    <w:rsid w:val="00B226E4"/>
    <w:rsid w:val="00B24820"/>
    <w:rsid w:val="00B41918"/>
    <w:rsid w:val="00B55A62"/>
    <w:rsid w:val="00B70E0F"/>
    <w:rsid w:val="00B70E9F"/>
    <w:rsid w:val="00B72062"/>
    <w:rsid w:val="00B74FEC"/>
    <w:rsid w:val="00B76402"/>
    <w:rsid w:val="00B76ED9"/>
    <w:rsid w:val="00B914A5"/>
    <w:rsid w:val="00B96EFF"/>
    <w:rsid w:val="00B97DCB"/>
    <w:rsid w:val="00BC5750"/>
    <w:rsid w:val="00BD527E"/>
    <w:rsid w:val="00BE766A"/>
    <w:rsid w:val="00BF574E"/>
    <w:rsid w:val="00BF7A2B"/>
    <w:rsid w:val="00C05410"/>
    <w:rsid w:val="00C1200E"/>
    <w:rsid w:val="00C2020D"/>
    <w:rsid w:val="00C21FDD"/>
    <w:rsid w:val="00C53D67"/>
    <w:rsid w:val="00C63449"/>
    <w:rsid w:val="00C65E6E"/>
    <w:rsid w:val="00C65F49"/>
    <w:rsid w:val="00C672AC"/>
    <w:rsid w:val="00C705DF"/>
    <w:rsid w:val="00C71D48"/>
    <w:rsid w:val="00C90109"/>
    <w:rsid w:val="00C917F4"/>
    <w:rsid w:val="00C93828"/>
    <w:rsid w:val="00CA230C"/>
    <w:rsid w:val="00CC0908"/>
    <w:rsid w:val="00CD562D"/>
    <w:rsid w:val="00CD7739"/>
    <w:rsid w:val="00CE1216"/>
    <w:rsid w:val="00CE3C9D"/>
    <w:rsid w:val="00CE66C6"/>
    <w:rsid w:val="00CF4724"/>
    <w:rsid w:val="00CF5AEA"/>
    <w:rsid w:val="00CF7CF1"/>
    <w:rsid w:val="00D02389"/>
    <w:rsid w:val="00D059BF"/>
    <w:rsid w:val="00D24C86"/>
    <w:rsid w:val="00D36B35"/>
    <w:rsid w:val="00D5371B"/>
    <w:rsid w:val="00D575B0"/>
    <w:rsid w:val="00D62030"/>
    <w:rsid w:val="00D658ED"/>
    <w:rsid w:val="00D80AEB"/>
    <w:rsid w:val="00DA44FC"/>
    <w:rsid w:val="00DA5699"/>
    <w:rsid w:val="00DB3227"/>
    <w:rsid w:val="00DD2EF7"/>
    <w:rsid w:val="00DE6BB8"/>
    <w:rsid w:val="00DF1867"/>
    <w:rsid w:val="00E00654"/>
    <w:rsid w:val="00E046C3"/>
    <w:rsid w:val="00E12638"/>
    <w:rsid w:val="00E251FB"/>
    <w:rsid w:val="00E26814"/>
    <w:rsid w:val="00E26AC5"/>
    <w:rsid w:val="00E43F33"/>
    <w:rsid w:val="00E50325"/>
    <w:rsid w:val="00E53A05"/>
    <w:rsid w:val="00E55860"/>
    <w:rsid w:val="00E607DB"/>
    <w:rsid w:val="00E61B68"/>
    <w:rsid w:val="00E75C21"/>
    <w:rsid w:val="00E83F30"/>
    <w:rsid w:val="00E8607D"/>
    <w:rsid w:val="00E95329"/>
    <w:rsid w:val="00E97E60"/>
    <w:rsid w:val="00EA6888"/>
    <w:rsid w:val="00EB4745"/>
    <w:rsid w:val="00ED7A07"/>
    <w:rsid w:val="00EF20E0"/>
    <w:rsid w:val="00EF5BE4"/>
    <w:rsid w:val="00EF6A18"/>
    <w:rsid w:val="00EF7C78"/>
    <w:rsid w:val="00F00291"/>
    <w:rsid w:val="00F02300"/>
    <w:rsid w:val="00F11D0F"/>
    <w:rsid w:val="00F21ED4"/>
    <w:rsid w:val="00F25C3E"/>
    <w:rsid w:val="00F33247"/>
    <w:rsid w:val="00F44959"/>
    <w:rsid w:val="00F45341"/>
    <w:rsid w:val="00F454CD"/>
    <w:rsid w:val="00F52DE1"/>
    <w:rsid w:val="00F53550"/>
    <w:rsid w:val="00F660A9"/>
    <w:rsid w:val="00F769D6"/>
    <w:rsid w:val="00F774EF"/>
    <w:rsid w:val="00F92A99"/>
    <w:rsid w:val="00F9302A"/>
    <w:rsid w:val="00F964D2"/>
    <w:rsid w:val="00FA5204"/>
    <w:rsid w:val="00FA7480"/>
    <w:rsid w:val="00FB1809"/>
    <w:rsid w:val="00FC5ADB"/>
    <w:rsid w:val="00FD5976"/>
    <w:rsid w:val="00FE0613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DBD"/>
    <w:rPr>
      <w:rFonts w:ascii="Arial" w:eastAsia="Times New Roman" w:hAnsi="Arial"/>
      <w:sz w:val="16"/>
      <w:lang w:val="es-ES_tradnl" w:eastAsia="es-CO"/>
    </w:rPr>
  </w:style>
  <w:style w:type="paragraph" w:styleId="Ttulo1">
    <w:name w:val="heading 1"/>
    <w:basedOn w:val="Normal"/>
    <w:next w:val="Normal"/>
    <w:link w:val="Ttulo1Car"/>
    <w:qFormat/>
    <w:rsid w:val="00411374"/>
    <w:pPr>
      <w:keepNext/>
      <w:outlineLvl w:val="0"/>
    </w:pPr>
    <w:rPr>
      <w:b/>
      <w:bCs/>
      <w:caps/>
      <w:kern w:val="32"/>
      <w:szCs w:val="32"/>
      <w:lang w:eastAsia="x-none"/>
    </w:rPr>
  </w:style>
  <w:style w:type="paragraph" w:styleId="Ttulo2">
    <w:name w:val="heading 2"/>
    <w:basedOn w:val="Normal"/>
    <w:next w:val="Normal"/>
    <w:link w:val="Ttulo2Car"/>
    <w:qFormat/>
    <w:rsid w:val="00411374"/>
    <w:pPr>
      <w:keepNext/>
      <w:jc w:val="both"/>
      <w:outlineLvl w:val="1"/>
    </w:pPr>
    <w:rPr>
      <w:b/>
      <w:bCs/>
      <w:iCs/>
      <w:szCs w:val="28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462B98"/>
  </w:style>
  <w:style w:type="paragraph" w:styleId="Encabezado">
    <w:name w:val="header"/>
    <w:basedOn w:val="Normal"/>
    <w:link w:val="EncabezadoCar"/>
    <w:rsid w:val="00462B98"/>
    <w:pPr>
      <w:tabs>
        <w:tab w:val="center" w:pos="4252"/>
        <w:tab w:val="right" w:pos="8504"/>
      </w:tabs>
      <w:ind w:left="1191" w:hanging="567"/>
      <w:jc w:val="both"/>
    </w:pPr>
    <w:rPr>
      <w:sz w:val="24"/>
    </w:rPr>
  </w:style>
  <w:style w:type="paragraph" w:styleId="Piedepgina">
    <w:name w:val="footer"/>
    <w:basedOn w:val="Normal"/>
    <w:link w:val="PiedepginaCar"/>
    <w:uiPriority w:val="99"/>
    <w:rsid w:val="00462B98"/>
    <w:pPr>
      <w:tabs>
        <w:tab w:val="center" w:pos="4252"/>
        <w:tab w:val="right" w:pos="8504"/>
      </w:tabs>
      <w:ind w:left="1191" w:hanging="567"/>
      <w:jc w:val="both"/>
    </w:pPr>
    <w:rPr>
      <w:sz w:val="24"/>
    </w:rPr>
  </w:style>
  <w:style w:type="paragraph" w:customStyle="1" w:styleId="Textoindependiente21">
    <w:name w:val="Texto independiente 21"/>
    <w:basedOn w:val="Normal"/>
    <w:rsid w:val="00462B98"/>
    <w:pPr>
      <w:jc w:val="both"/>
    </w:pPr>
    <w:rPr>
      <w:spacing w:val="20"/>
    </w:rPr>
  </w:style>
  <w:style w:type="paragraph" w:styleId="Sangradetextonormal">
    <w:name w:val="Body Text Indent"/>
    <w:basedOn w:val="Normal"/>
    <w:rsid w:val="00462B98"/>
    <w:pPr>
      <w:ind w:left="360" w:hanging="360"/>
      <w:jc w:val="both"/>
    </w:pPr>
    <w:rPr>
      <w:spacing w:val="20"/>
    </w:rPr>
  </w:style>
  <w:style w:type="paragraph" w:styleId="Textoindependiente2">
    <w:name w:val="Body Text 2"/>
    <w:basedOn w:val="Normal"/>
    <w:rsid w:val="00462B98"/>
    <w:pPr>
      <w:pBdr>
        <w:left w:val="single" w:sz="6" w:space="1" w:color="auto"/>
      </w:pBdr>
      <w:jc w:val="both"/>
    </w:pPr>
    <w:rPr>
      <w:b/>
      <w:spacing w:val="20"/>
    </w:rPr>
  </w:style>
  <w:style w:type="paragraph" w:styleId="Textoindependiente3">
    <w:name w:val="Body Text 3"/>
    <w:basedOn w:val="Normal"/>
    <w:rsid w:val="00462B98"/>
    <w:pPr>
      <w:pBdr>
        <w:left w:val="single" w:sz="6" w:space="1" w:color="auto"/>
      </w:pBdr>
      <w:jc w:val="both"/>
    </w:pPr>
    <w:rPr>
      <w:spacing w:val="20"/>
    </w:rPr>
  </w:style>
  <w:style w:type="paragraph" w:styleId="Textodebloque">
    <w:name w:val="Block Text"/>
    <w:basedOn w:val="Normal"/>
    <w:rsid w:val="00BC5750"/>
    <w:pPr>
      <w:tabs>
        <w:tab w:val="left" w:pos="12474"/>
      </w:tabs>
      <w:ind w:left="426" w:right="192"/>
    </w:pPr>
    <w:rPr>
      <w:sz w:val="18"/>
      <w:lang w:val="es-ES"/>
    </w:rPr>
  </w:style>
  <w:style w:type="paragraph" w:styleId="Textodeglobo">
    <w:name w:val="Balloon Text"/>
    <w:basedOn w:val="Normal"/>
    <w:semiHidden/>
    <w:rsid w:val="00B97DCB"/>
    <w:rPr>
      <w:rFonts w:ascii="Tahoma" w:hAnsi="Tahoma" w:cs="Tahoma"/>
      <w:szCs w:val="16"/>
    </w:rPr>
  </w:style>
  <w:style w:type="character" w:customStyle="1" w:styleId="PiedepginaCar">
    <w:name w:val="Pie de página Car"/>
    <w:link w:val="Piedepgina"/>
    <w:uiPriority w:val="99"/>
    <w:locked/>
    <w:rsid w:val="00847E08"/>
    <w:rPr>
      <w:rFonts w:ascii="Arial" w:eastAsia="Times New Roman" w:hAnsi="Arial"/>
      <w:sz w:val="24"/>
      <w:lang w:val="es-ES_tradnl" w:eastAsia="es-CO"/>
    </w:rPr>
  </w:style>
  <w:style w:type="character" w:customStyle="1" w:styleId="EncabezadoCar">
    <w:name w:val="Encabezado Car"/>
    <w:link w:val="Encabezado"/>
    <w:locked/>
    <w:rsid w:val="00847E08"/>
    <w:rPr>
      <w:rFonts w:ascii="Arial" w:eastAsia="Times New Roman" w:hAnsi="Arial"/>
      <w:sz w:val="24"/>
      <w:lang w:val="es-ES_tradnl" w:eastAsia="es-CO"/>
    </w:rPr>
  </w:style>
  <w:style w:type="paragraph" w:customStyle="1" w:styleId="nfasissutil1">
    <w:name w:val="Énfasis sutil1"/>
    <w:basedOn w:val="Normal"/>
    <w:uiPriority w:val="99"/>
    <w:qFormat/>
    <w:rsid w:val="00847E08"/>
    <w:pPr>
      <w:ind w:left="708"/>
    </w:pPr>
    <w:rPr>
      <w:rFonts w:eastAsia="SimSun"/>
    </w:rPr>
  </w:style>
  <w:style w:type="paragraph" w:customStyle="1" w:styleId="Listaoscura-nfasis61">
    <w:name w:val="Lista oscura - Énfasis 61"/>
    <w:uiPriority w:val="1"/>
    <w:qFormat/>
    <w:rsid w:val="00820832"/>
    <w:rPr>
      <w:rFonts w:ascii="Arial" w:eastAsia="Times New Roman" w:hAnsi="Arial"/>
      <w:sz w:val="16"/>
      <w:lang w:val="es-ES_tradnl" w:eastAsia="es-CO"/>
    </w:rPr>
  </w:style>
  <w:style w:type="paragraph" w:customStyle="1" w:styleId="Ttulo10">
    <w:name w:val="Título1"/>
    <w:basedOn w:val="Normal"/>
    <w:link w:val="TtuloCar"/>
    <w:qFormat/>
    <w:rsid w:val="006F4284"/>
    <w:pPr>
      <w:spacing w:before="240" w:after="60"/>
      <w:ind w:left="1191" w:hanging="567"/>
      <w:jc w:val="center"/>
    </w:pPr>
    <w:rPr>
      <w:b/>
      <w:kern w:val="28"/>
      <w:sz w:val="32"/>
      <w:lang w:val="x-none"/>
    </w:rPr>
  </w:style>
  <w:style w:type="character" w:customStyle="1" w:styleId="TtuloCar">
    <w:name w:val="Título Car"/>
    <w:link w:val="Ttulo10"/>
    <w:rsid w:val="006F4284"/>
    <w:rPr>
      <w:rFonts w:ascii="Arial" w:eastAsia="Times New Roman" w:hAnsi="Arial"/>
      <w:b/>
      <w:kern w:val="28"/>
      <w:sz w:val="32"/>
      <w:lang w:eastAsia="es-CO"/>
    </w:rPr>
  </w:style>
  <w:style w:type="character" w:styleId="Refdecomentario">
    <w:name w:val="annotation reference"/>
    <w:rsid w:val="0075120E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75120E"/>
    <w:rPr>
      <w:sz w:val="24"/>
      <w:szCs w:val="24"/>
      <w:lang w:val="x-none"/>
    </w:rPr>
  </w:style>
  <w:style w:type="character" w:customStyle="1" w:styleId="TextocomentarioCar">
    <w:name w:val="Texto comentario Car"/>
    <w:link w:val="Textocomentario"/>
    <w:rsid w:val="0075120E"/>
    <w:rPr>
      <w:rFonts w:ascii="Arial" w:eastAsia="Times New Roman" w:hAnsi="Arial"/>
      <w:sz w:val="24"/>
      <w:szCs w:val="24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5120E"/>
    <w:rPr>
      <w:b/>
      <w:bCs/>
    </w:rPr>
  </w:style>
  <w:style w:type="character" w:customStyle="1" w:styleId="AsuntodelcomentarioCar">
    <w:name w:val="Asunto del comentario Car"/>
    <w:link w:val="Asuntodelcomentario"/>
    <w:rsid w:val="0075120E"/>
    <w:rPr>
      <w:rFonts w:ascii="Arial" w:eastAsia="Times New Roman" w:hAnsi="Arial"/>
      <w:b/>
      <w:bCs/>
      <w:sz w:val="24"/>
      <w:szCs w:val="24"/>
      <w:lang w:eastAsia="es-CO"/>
    </w:rPr>
  </w:style>
  <w:style w:type="paragraph" w:customStyle="1" w:styleId="Cuadrculamulticolor-nfasis61">
    <w:name w:val="Cuadrícula multicolor - Énfasis 61"/>
    <w:hidden/>
    <w:uiPriority w:val="71"/>
    <w:rsid w:val="00653C13"/>
    <w:rPr>
      <w:rFonts w:ascii="Arial" w:eastAsia="Times New Roman" w:hAnsi="Arial"/>
      <w:sz w:val="16"/>
      <w:lang w:val="es-ES_tradnl" w:eastAsia="es-CO"/>
    </w:rPr>
  </w:style>
  <w:style w:type="paragraph" w:customStyle="1" w:styleId="Cuadrculamulticolor-nfasis6">
    <w:name w:val="Cuadrícula multicolor - Énfasis 6"/>
    <w:hidden/>
    <w:uiPriority w:val="71"/>
    <w:rsid w:val="00780BCD"/>
    <w:rPr>
      <w:rFonts w:ascii="Arial" w:eastAsia="Times New Roman" w:hAnsi="Arial"/>
      <w:sz w:val="16"/>
      <w:lang w:val="es-ES_tradnl" w:eastAsia="es-CO"/>
    </w:rPr>
  </w:style>
  <w:style w:type="character" w:customStyle="1" w:styleId="Ttulo1Car">
    <w:name w:val="Título 1 Car"/>
    <w:link w:val="Ttulo1"/>
    <w:rsid w:val="00411374"/>
    <w:rPr>
      <w:rFonts w:ascii="Arial" w:eastAsia="Times New Roman" w:hAnsi="Arial" w:cs="Times New Roman"/>
      <w:b/>
      <w:bCs/>
      <w:caps/>
      <w:kern w:val="32"/>
      <w:sz w:val="16"/>
      <w:szCs w:val="32"/>
      <w:lang w:val="es-ES_tradnl"/>
    </w:rPr>
  </w:style>
  <w:style w:type="character" w:customStyle="1" w:styleId="Ttulo2Car">
    <w:name w:val="Título 2 Car"/>
    <w:link w:val="Ttulo2"/>
    <w:rsid w:val="00411374"/>
    <w:rPr>
      <w:rFonts w:ascii="Arial" w:eastAsia="Times New Roman" w:hAnsi="Arial" w:cs="Times New Roman"/>
      <w:b/>
      <w:bCs/>
      <w:iCs/>
      <w:sz w:val="16"/>
      <w:szCs w:val="28"/>
      <w:lang w:val="es-ES_tradnl"/>
    </w:rPr>
  </w:style>
  <w:style w:type="paragraph" w:customStyle="1" w:styleId="Encabezadodetabladecontenido">
    <w:name w:val="Encabezado de tabla de contenido"/>
    <w:basedOn w:val="Ttulo1"/>
    <w:next w:val="Normal"/>
    <w:uiPriority w:val="39"/>
    <w:semiHidden/>
    <w:unhideWhenUsed/>
    <w:qFormat/>
    <w:rsid w:val="00386EB7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rsid w:val="00386EB7"/>
    <w:pPr>
      <w:spacing w:before="240" w:after="120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rsid w:val="00386EB7"/>
    <w:pPr>
      <w:ind w:left="160"/>
    </w:pPr>
    <w:rPr>
      <w:iCs/>
    </w:rPr>
  </w:style>
  <w:style w:type="character" w:styleId="Hipervnculo">
    <w:name w:val="Hyperlink"/>
    <w:uiPriority w:val="99"/>
    <w:unhideWhenUsed/>
    <w:rsid w:val="00386EB7"/>
    <w:rPr>
      <w:color w:val="0000FF"/>
      <w:u w:val="single"/>
    </w:rPr>
  </w:style>
  <w:style w:type="paragraph" w:styleId="TDC3">
    <w:name w:val="toc 3"/>
    <w:basedOn w:val="Normal"/>
    <w:next w:val="Normal"/>
    <w:autoRedefine/>
    <w:rsid w:val="00386EB7"/>
    <w:pPr>
      <w:ind w:left="320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rsid w:val="00386EB7"/>
    <w:pPr>
      <w:ind w:left="480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rsid w:val="00386EB7"/>
    <w:pPr>
      <w:ind w:left="640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rsid w:val="00386EB7"/>
    <w:pPr>
      <w:ind w:left="800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rsid w:val="00386EB7"/>
    <w:pPr>
      <w:ind w:left="960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rsid w:val="00386EB7"/>
    <w:pPr>
      <w:ind w:left="1120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rsid w:val="00386EB7"/>
    <w:pPr>
      <w:ind w:left="1280"/>
    </w:pPr>
    <w:rPr>
      <w:rFonts w:ascii="Calibri" w:hAnsi="Calibr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DBD"/>
    <w:rPr>
      <w:rFonts w:ascii="Arial" w:eastAsia="Times New Roman" w:hAnsi="Arial"/>
      <w:sz w:val="16"/>
      <w:lang w:val="es-ES_tradnl" w:eastAsia="es-CO"/>
    </w:rPr>
  </w:style>
  <w:style w:type="paragraph" w:styleId="Ttulo1">
    <w:name w:val="heading 1"/>
    <w:basedOn w:val="Normal"/>
    <w:next w:val="Normal"/>
    <w:link w:val="Ttulo1Car"/>
    <w:qFormat/>
    <w:rsid w:val="00411374"/>
    <w:pPr>
      <w:keepNext/>
      <w:outlineLvl w:val="0"/>
    </w:pPr>
    <w:rPr>
      <w:b/>
      <w:bCs/>
      <w:caps/>
      <w:kern w:val="32"/>
      <w:szCs w:val="32"/>
      <w:lang w:eastAsia="x-none"/>
    </w:rPr>
  </w:style>
  <w:style w:type="paragraph" w:styleId="Ttulo2">
    <w:name w:val="heading 2"/>
    <w:basedOn w:val="Normal"/>
    <w:next w:val="Normal"/>
    <w:link w:val="Ttulo2Car"/>
    <w:qFormat/>
    <w:rsid w:val="00411374"/>
    <w:pPr>
      <w:keepNext/>
      <w:jc w:val="both"/>
      <w:outlineLvl w:val="1"/>
    </w:pPr>
    <w:rPr>
      <w:b/>
      <w:bCs/>
      <w:iCs/>
      <w:szCs w:val="28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462B98"/>
  </w:style>
  <w:style w:type="paragraph" w:styleId="Encabezado">
    <w:name w:val="header"/>
    <w:basedOn w:val="Normal"/>
    <w:link w:val="EncabezadoCar"/>
    <w:rsid w:val="00462B98"/>
    <w:pPr>
      <w:tabs>
        <w:tab w:val="center" w:pos="4252"/>
        <w:tab w:val="right" w:pos="8504"/>
      </w:tabs>
      <w:ind w:left="1191" w:hanging="567"/>
      <w:jc w:val="both"/>
    </w:pPr>
    <w:rPr>
      <w:sz w:val="24"/>
    </w:rPr>
  </w:style>
  <w:style w:type="paragraph" w:styleId="Piedepgina">
    <w:name w:val="footer"/>
    <w:basedOn w:val="Normal"/>
    <w:link w:val="PiedepginaCar"/>
    <w:uiPriority w:val="99"/>
    <w:rsid w:val="00462B98"/>
    <w:pPr>
      <w:tabs>
        <w:tab w:val="center" w:pos="4252"/>
        <w:tab w:val="right" w:pos="8504"/>
      </w:tabs>
      <w:ind w:left="1191" w:hanging="567"/>
      <w:jc w:val="both"/>
    </w:pPr>
    <w:rPr>
      <w:sz w:val="24"/>
    </w:rPr>
  </w:style>
  <w:style w:type="paragraph" w:customStyle="1" w:styleId="Textoindependiente21">
    <w:name w:val="Texto independiente 21"/>
    <w:basedOn w:val="Normal"/>
    <w:rsid w:val="00462B98"/>
    <w:pPr>
      <w:jc w:val="both"/>
    </w:pPr>
    <w:rPr>
      <w:spacing w:val="20"/>
    </w:rPr>
  </w:style>
  <w:style w:type="paragraph" w:styleId="Sangradetextonormal">
    <w:name w:val="Body Text Indent"/>
    <w:basedOn w:val="Normal"/>
    <w:rsid w:val="00462B98"/>
    <w:pPr>
      <w:ind w:left="360" w:hanging="360"/>
      <w:jc w:val="both"/>
    </w:pPr>
    <w:rPr>
      <w:spacing w:val="20"/>
    </w:rPr>
  </w:style>
  <w:style w:type="paragraph" w:styleId="Textoindependiente2">
    <w:name w:val="Body Text 2"/>
    <w:basedOn w:val="Normal"/>
    <w:rsid w:val="00462B98"/>
    <w:pPr>
      <w:pBdr>
        <w:left w:val="single" w:sz="6" w:space="1" w:color="auto"/>
      </w:pBdr>
      <w:jc w:val="both"/>
    </w:pPr>
    <w:rPr>
      <w:b/>
      <w:spacing w:val="20"/>
    </w:rPr>
  </w:style>
  <w:style w:type="paragraph" w:styleId="Textoindependiente3">
    <w:name w:val="Body Text 3"/>
    <w:basedOn w:val="Normal"/>
    <w:rsid w:val="00462B98"/>
    <w:pPr>
      <w:pBdr>
        <w:left w:val="single" w:sz="6" w:space="1" w:color="auto"/>
      </w:pBdr>
      <w:jc w:val="both"/>
    </w:pPr>
    <w:rPr>
      <w:spacing w:val="20"/>
    </w:rPr>
  </w:style>
  <w:style w:type="paragraph" w:styleId="Textodebloque">
    <w:name w:val="Block Text"/>
    <w:basedOn w:val="Normal"/>
    <w:rsid w:val="00BC5750"/>
    <w:pPr>
      <w:tabs>
        <w:tab w:val="left" w:pos="12474"/>
      </w:tabs>
      <w:ind w:left="426" w:right="192"/>
    </w:pPr>
    <w:rPr>
      <w:sz w:val="18"/>
      <w:lang w:val="es-ES"/>
    </w:rPr>
  </w:style>
  <w:style w:type="paragraph" w:styleId="Textodeglobo">
    <w:name w:val="Balloon Text"/>
    <w:basedOn w:val="Normal"/>
    <w:semiHidden/>
    <w:rsid w:val="00B97DCB"/>
    <w:rPr>
      <w:rFonts w:ascii="Tahoma" w:hAnsi="Tahoma" w:cs="Tahoma"/>
      <w:szCs w:val="16"/>
    </w:rPr>
  </w:style>
  <w:style w:type="character" w:customStyle="1" w:styleId="PiedepginaCar">
    <w:name w:val="Pie de página Car"/>
    <w:link w:val="Piedepgina"/>
    <w:uiPriority w:val="99"/>
    <w:locked/>
    <w:rsid w:val="00847E08"/>
    <w:rPr>
      <w:rFonts w:ascii="Arial" w:eastAsia="Times New Roman" w:hAnsi="Arial"/>
      <w:sz w:val="24"/>
      <w:lang w:val="es-ES_tradnl" w:eastAsia="es-CO"/>
    </w:rPr>
  </w:style>
  <w:style w:type="character" w:customStyle="1" w:styleId="EncabezadoCar">
    <w:name w:val="Encabezado Car"/>
    <w:link w:val="Encabezado"/>
    <w:locked/>
    <w:rsid w:val="00847E08"/>
    <w:rPr>
      <w:rFonts w:ascii="Arial" w:eastAsia="Times New Roman" w:hAnsi="Arial"/>
      <w:sz w:val="24"/>
      <w:lang w:val="es-ES_tradnl" w:eastAsia="es-CO"/>
    </w:rPr>
  </w:style>
  <w:style w:type="paragraph" w:customStyle="1" w:styleId="nfasissutil1">
    <w:name w:val="Énfasis sutil1"/>
    <w:basedOn w:val="Normal"/>
    <w:uiPriority w:val="99"/>
    <w:qFormat/>
    <w:rsid w:val="00847E08"/>
    <w:pPr>
      <w:ind w:left="708"/>
    </w:pPr>
    <w:rPr>
      <w:rFonts w:eastAsia="SimSun"/>
    </w:rPr>
  </w:style>
  <w:style w:type="paragraph" w:customStyle="1" w:styleId="Listaoscura-nfasis61">
    <w:name w:val="Lista oscura - Énfasis 61"/>
    <w:uiPriority w:val="1"/>
    <w:qFormat/>
    <w:rsid w:val="00820832"/>
    <w:rPr>
      <w:rFonts w:ascii="Arial" w:eastAsia="Times New Roman" w:hAnsi="Arial"/>
      <w:sz w:val="16"/>
      <w:lang w:val="es-ES_tradnl" w:eastAsia="es-CO"/>
    </w:rPr>
  </w:style>
  <w:style w:type="paragraph" w:customStyle="1" w:styleId="Ttulo10">
    <w:name w:val="Título1"/>
    <w:basedOn w:val="Normal"/>
    <w:link w:val="TtuloCar"/>
    <w:qFormat/>
    <w:rsid w:val="006F4284"/>
    <w:pPr>
      <w:spacing w:before="240" w:after="60"/>
      <w:ind w:left="1191" w:hanging="567"/>
      <w:jc w:val="center"/>
    </w:pPr>
    <w:rPr>
      <w:b/>
      <w:kern w:val="28"/>
      <w:sz w:val="32"/>
      <w:lang w:val="x-none"/>
    </w:rPr>
  </w:style>
  <w:style w:type="character" w:customStyle="1" w:styleId="TtuloCar">
    <w:name w:val="Título Car"/>
    <w:link w:val="Ttulo10"/>
    <w:rsid w:val="006F4284"/>
    <w:rPr>
      <w:rFonts w:ascii="Arial" w:eastAsia="Times New Roman" w:hAnsi="Arial"/>
      <w:b/>
      <w:kern w:val="28"/>
      <w:sz w:val="32"/>
      <w:lang w:eastAsia="es-CO"/>
    </w:rPr>
  </w:style>
  <w:style w:type="character" w:styleId="Refdecomentario">
    <w:name w:val="annotation reference"/>
    <w:rsid w:val="0075120E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75120E"/>
    <w:rPr>
      <w:sz w:val="24"/>
      <w:szCs w:val="24"/>
      <w:lang w:val="x-none"/>
    </w:rPr>
  </w:style>
  <w:style w:type="character" w:customStyle="1" w:styleId="TextocomentarioCar">
    <w:name w:val="Texto comentario Car"/>
    <w:link w:val="Textocomentario"/>
    <w:rsid w:val="0075120E"/>
    <w:rPr>
      <w:rFonts w:ascii="Arial" w:eastAsia="Times New Roman" w:hAnsi="Arial"/>
      <w:sz w:val="24"/>
      <w:szCs w:val="24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5120E"/>
    <w:rPr>
      <w:b/>
      <w:bCs/>
    </w:rPr>
  </w:style>
  <w:style w:type="character" w:customStyle="1" w:styleId="AsuntodelcomentarioCar">
    <w:name w:val="Asunto del comentario Car"/>
    <w:link w:val="Asuntodelcomentario"/>
    <w:rsid w:val="0075120E"/>
    <w:rPr>
      <w:rFonts w:ascii="Arial" w:eastAsia="Times New Roman" w:hAnsi="Arial"/>
      <w:b/>
      <w:bCs/>
      <w:sz w:val="24"/>
      <w:szCs w:val="24"/>
      <w:lang w:eastAsia="es-CO"/>
    </w:rPr>
  </w:style>
  <w:style w:type="paragraph" w:customStyle="1" w:styleId="Cuadrculamulticolor-nfasis61">
    <w:name w:val="Cuadrícula multicolor - Énfasis 61"/>
    <w:hidden/>
    <w:uiPriority w:val="71"/>
    <w:rsid w:val="00653C13"/>
    <w:rPr>
      <w:rFonts w:ascii="Arial" w:eastAsia="Times New Roman" w:hAnsi="Arial"/>
      <w:sz w:val="16"/>
      <w:lang w:val="es-ES_tradnl" w:eastAsia="es-CO"/>
    </w:rPr>
  </w:style>
  <w:style w:type="paragraph" w:customStyle="1" w:styleId="Cuadrculamulticolor-nfasis6">
    <w:name w:val="Cuadrícula multicolor - Énfasis 6"/>
    <w:hidden/>
    <w:uiPriority w:val="71"/>
    <w:rsid w:val="00780BCD"/>
    <w:rPr>
      <w:rFonts w:ascii="Arial" w:eastAsia="Times New Roman" w:hAnsi="Arial"/>
      <w:sz w:val="16"/>
      <w:lang w:val="es-ES_tradnl" w:eastAsia="es-CO"/>
    </w:rPr>
  </w:style>
  <w:style w:type="character" w:customStyle="1" w:styleId="Ttulo1Car">
    <w:name w:val="Título 1 Car"/>
    <w:link w:val="Ttulo1"/>
    <w:rsid w:val="00411374"/>
    <w:rPr>
      <w:rFonts w:ascii="Arial" w:eastAsia="Times New Roman" w:hAnsi="Arial" w:cs="Times New Roman"/>
      <w:b/>
      <w:bCs/>
      <w:caps/>
      <w:kern w:val="32"/>
      <w:sz w:val="16"/>
      <w:szCs w:val="32"/>
      <w:lang w:val="es-ES_tradnl"/>
    </w:rPr>
  </w:style>
  <w:style w:type="character" w:customStyle="1" w:styleId="Ttulo2Car">
    <w:name w:val="Título 2 Car"/>
    <w:link w:val="Ttulo2"/>
    <w:rsid w:val="00411374"/>
    <w:rPr>
      <w:rFonts w:ascii="Arial" w:eastAsia="Times New Roman" w:hAnsi="Arial" w:cs="Times New Roman"/>
      <w:b/>
      <w:bCs/>
      <w:iCs/>
      <w:sz w:val="16"/>
      <w:szCs w:val="28"/>
      <w:lang w:val="es-ES_tradnl"/>
    </w:rPr>
  </w:style>
  <w:style w:type="paragraph" w:customStyle="1" w:styleId="Encabezadodetabladecontenido">
    <w:name w:val="Encabezado de tabla de contenido"/>
    <w:basedOn w:val="Ttulo1"/>
    <w:next w:val="Normal"/>
    <w:uiPriority w:val="39"/>
    <w:semiHidden/>
    <w:unhideWhenUsed/>
    <w:qFormat/>
    <w:rsid w:val="00386EB7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rsid w:val="00386EB7"/>
    <w:pPr>
      <w:spacing w:before="240" w:after="120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rsid w:val="00386EB7"/>
    <w:pPr>
      <w:ind w:left="160"/>
    </w:pPr>
    <w:rPr>
      <w:iCs/>
    </w:rPr>
  </w:style>
  <w:style w:type="character" w:styleId="Hipervnculo">
    <w:name w:val="Hyperlink"/>
    <w:uiPriority w:val="99"/>
    <w:unhideWhenUsed/>
    <w:rsid w:val="00386EB7"/>
    <w:rPr>
      <w:color w:val="0000FF"/>
      <w:u w:val="single"/>
    </w:rPr>
  </w:style>
  <w:style w:type="paragraph" w:styleId="TDC3">
    <w:name w:val="toc 3"/>
    <w:basedOn w:val="Normal"/>
    <w:next w:val="Normal"/>
    <w:autoRedefine/>
    <w:rsid w:val="00386EB7"/>
    <w:pPr>
      <w:ind w:left="320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rsid w:val="00386EB7"/>
    <w:pPr>
      <w:ind w:left="480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rsid w:val="00386EB7"/>
    <w:pPr>
      <w:ind w:left="640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rsid w:val="00386EB7"/>
    <w:pPr>
      <w:ind w:left="800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rsid w:val="00386EB7"/>
    <w:pPr>
      <w:ind w:left="960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rsid w:val="00386EB7"/>
    <w:pPr>
      <w:ind w:left="1120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rsid w:val="00386EB7"/>
    <w:pPr>
      <w:ind w:left="1280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745B2-A487-4424-A95B-0AE5BDFEA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900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CUARTO: INSTRUCCIONES GENERALES</vt:lpstr>
    </vt:vector>
  </TitlesOfParts>
  <Company>Soporte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CUARTO: INSTRUCCIONES GENERALES</dc:title>
  <dc:subject/>
  <dc:creator>asecom15</dc:creator>
  <cp:keywords/>
  <cp:lastModifiedBy>Gabriel Armando Ospina Garcia</cp:lastModifiedBy>
  <cp:revision>4</cp:revision>
  <cp:lastPrinted>2016-09-21T15:05:00Z</cp:lastPrinted>
  <dcterms:created xsi:type="dcterms:W3CDTF">2016-12-06T16:37:00Z</dcterms:created>
  <dcterms:modified xsi:type="dcterms:W3CDTF">2016-12-07T20:34:00Z</dcterms:modified>
</cp:coreProperties>
</file>