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32B93" w14:textId="77777777" w:rsidR="000C232E" w:rsidRPr="00BE4846" w:rsidRDefault="000C232E" w:rsidP="00A564C6">
      <w:pPr>
        <w:rPr>
          <w:rFonts w:cs="Arial"/>
          <w:b/>
          <w:sz w:val="16"/>
          <w:szCs w:val="16"/>
          <w:lang w:val="es-CO"/>
        </w:rPr>
      </w:pPr>
    </w:p>
    <w:p w14:paraId="6D3B6D35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  <w:r w:rsidRPr="008A403C">
        <w:rPr>
          <w:rFonts w:cs="Arial"/>
          <w:b/>
          <w:sz w:val="16"/>
          <w:szCs w:val="16"/>
        </w:rPr>
        <w:t>PARTE I</w:t>
      </w:r>
    </w:p>
    <w:p w14:paraId="1BD97D0C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  <w:r w:rsidRPr="008A403C">
        <w:rPr>
          <w:rFonts w:cs="Arial"/>
          <w:b/>
          <w:sz w:val="16"/>
          <w:szCs w:val="16"/>
        </w:rPr>
        <w:t>INSTRUCCIONES GENERALES APLICABLES A LAS ENTIDADES VIGILADAS</w:t>
      </w:r>
    </w:p>
    <w:p w14:paraId="019EF354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49E9994F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  <w:r w:rsidRPr="008A403C">
        <w:rPr>
          <w:rFonts w:cs="Arial"/>
          <w:b/>
          <w:sz w:val="16"/>
          <w:szCs w:val="16"/>
        </w:rPr>
        <w:t>TÍTULO V</w:t>
      </w:r>
    </w:p>
    <w:p w14:paraId="21AB4398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  <w:r w:rsidRPr="008A403C">
        <w:rPr>
          <w:rFonts w:cs="Arial"/>
          <w:b/>
          <w:sz w:val="16"/>
          <w:szCs w:val="16"/>
        </w:rPr>
        <w:t>INSTRUCCIONES RELATIVAS A LOS HOLDINGS FINANCIEROS</w:t>
      </w:r>
    </w:p>
    <w:p w14:paraId="424CDFA2" w14:textId="77777777" w:rsidR="00C0457F" w:rsidRPr="008A403C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1A2C1349" w14:textId="77777777" w:rsidR="00C0457F" w:rsidRPr="00A51D40" w:rsidRDefault="00C0457F" w:rsidP="00A564C6">
      <w:pPr>
        <w:ind w:left="360" w:firstLine="0"/>
        <w:rPr>
          <w:rFonts w:cs="Arial"/>
          <w:b/>
          <w:sz w:val="16"/>
          <w:szCs w:val="16"/>
          <w:lang w:val="es-CO"/>
        </w:rPr>
      </w:pPr>
      <w:r w:rsidRPr="008A403C">
        <w:rPr>
          <w:rFonts w:cs="Arial"/>
          <w:b/>
          <w:sz w:val="16"/>
          <w:szCs w:val="16"/>
        </w:rPr>
        <w:t>CAPÍTULO I</w:t>
      </w:r>
      <w:r w:rsidR="00FB00DE" w:rsidRPr="008A403C">
        <w:rPr>
          <w:rFonts w:cs="Arial"/>
          <w:b/>
          <w:sz w:val="16"/>
          <w:szCs w:val="16"/>
        </w:rPr>
        <w:t>I</w:t>
      </w:r>
      <w:r w:rsidRPr="008A403C">
        <w:rPr>
          <w:rFonts w:cs="Arial"/>
          <w:b/>
          <w:sz w:val="16"/>
          <w:szCs w:val="16"/>
        </w:rPr>
        <w:t xml:space="preserve">: </w:t>
      </w:r>
      <w:r w:rsidR="00A51D40" w:rsidRPr="008A403C">
        <w:rPr>
          <w:rFonts w:cs="Arial"/>
          <w:b/>
          <w:sz w:val="16"/>
          <w:szCs w:val="16"/>
          <w:lang w:val="es-CO"/>
        </w:rPr>
        <w:t xml:space="preserve">VINCULADOS </w:t>
      </w:r>
      <w:r w:rsidR="00FB00DE" w:rsidRPr="008A403C">
        <w:rPr>
          <w:rFonts w:cs="Arial"/>
          <w:b/>
          <w:sz w:val="16"/>
          <w:szCs w:val="16"/>
          <w:lang w:val="es-CO"/>
        </w:rPr>
        <w:t>Y LÍMITES DE EXPOSICIÓN Y CONCENTRACIÓN DE RIESGOS</w:t>
      </w:r>
    </w:p>
    <w:p w14:paraId="27EC8B4C" w14:textId="77777777" w:rsidR="000A260E" w:rsidRPr="00A51D40" w:rsidRDefault="000A260E" w:rsidP="00A564C6">
      <w:pPr>
        <w:tabs>
          <w:tab w:val="left" w:pos="540"/>
        </w:tabs>
        <w:ind w:left="624" w:firstLine="0"/>
        <w:jc w:val="center"/>
        <w:rPr>
          <w:rFonts w:cs="Arial"/>
          <w:b/>
          <w:sz w:val="16"/>
          <w:szCs w:val="16"/>
          <w:lang w:val="es-CO"/>
        </w:rPr>
      </w:pPr>
    </w:p>
    <w:p w14:paraId="38A8A9CB" w14:textId="77777777" w:rsidR="000A260E" w:rsidRPr="00A51D40" w:rsidRDefault="000A260E" w:rsidP="00A564C6">
      <w:pPr>
        <w:tabs>
          <w:tab w:val="left" w:pos="540"/>
        </w:tabs>
        <w:ind w:left="624" w:firstLine="0"/>
        <w:jc w:val="left"/>
        <w:rPr>
          <w:rFonts w:cs="Arial"/>
          <w:b/>
          <w:sz w:val="16"/>
          <w:szCs w:val="16"/>
          <w:lang w:val="es-CO"/>
        </w:rPr>
      </w:pPr>
    </w:p>
    <w:p w14:paraId="398699A7" w14:textId="77777777" w:rsidR="005F557D" w:rsidRPr="00A51D40" w:rsidRDefault="005F557D" w:rsidP="00A564C6">
      <w:pPr>
        <w:ind w:left="360" w:firstLine="0"/>
        <w:rPr>
          <w:rFonts w:cs="Arial"/>
          <w:b/>
          <w:sz w:val="16"/>
          <w:szCs w:val="16"/>
          <w:lang w:val="es-CO"/>
        </w:rPr>
      </w:pPr>
    </w:p>
    <w:p w14:paraId="7BC16B63" w14:textId="77777777" w:rsidR="000C232E" w:rsidRPr="00A51D40" w:rsidRDefault="00F1357A" w:rsidP="005E5E10">
      <w:pPr>
        <w:numPr>
          <w:ilvl w:val="0"/>
          <w:numId w:val="1"/>
        </w:numPr>
        <w:rPr>
          <w:rFonts w:cs="Arial"/>
          <w:b/>
          <w:sz w:val="16"/>
          <w:szCs w:val="16"/>
          <w:lang w:val="es-CO"/>
        </w:rPr>
      </w:pPr>
      <w:r w:rsidRPr="00A51D40">
        <w:rPr>
          <w:rFonts w:cs="Arial"/>
          <w:b/>
          <w:sz w:val="16"/>
          <w:szCs w:val="16"/>
          <w:lang w:val="es-CO"/>
        </w:rPr>
        <w:t>GENERALIDADES</w:t>
      </w:r>
    </w:p>
    <w:p w14:paraId="4641BF5B" w14:textId="77777777" w:rsidR="000C232E" w:rsidRPr="00A51D40" w:rsidRDefault="000C232E" w:rsidP="00A564C6">
      <w:pPr>
        <w:ind w:left="360" w:firstLine="0"/>
        <w:rPr>
          <w:rFonts w:cs="Arial"/>
          <w:b/>
          <w:sz w:val="16"/>
          <w:szCs w:val="16"/>
          <w:lang w:val="es-CO"/>
        </w:rPr>
      </w:pPr>
    </w:p>
    <w:p w14:paraId="6356F2C7" w14:textId="77777777" w:rsidR="00A51D40" w:rsidRPr="00A51D40" w:rsidRDefault="00A51D40" w:rsidP="00A51D40">
      <w:pPr>
        <w:ind w:left="0" w:firstLine="0"/>
        <w:rPr>
          <w:b/>
          <w:sz w:val="16"/>
          <w:szCs w:val="16"/>
          <w:lang w:val="es-CO"/>
        </w:rPr>
      </w:pPr>
      <w:r w:rsidRPr="00A51D40">
        <w:rPr>
          <w:b/>
          <w:sz w:val="16"/>
          <w:szCs w:val="16"/>
          <w:lang w:val="es-CO"/>
        </w:rPr>
        <w:t xml:space="preserve">2. VINCULADOS AL CONGLOMERADO FINANCIERO </w:t>
      </w:r>
    </w:p>
    <w:p w14:paraId="19ACABA4" w14:textId="77777777" w:rsidR="00A51D40" w:rsidRPr="00A51D40" w:rsidRDefault="00A51D40" w:rsidP="00A51D40">
      <w:pPr>
        <w:ind w:left="0" w:firstLine="0"/>
        <w:rPr>
          <w:b/>
          <w:sz w:val="16"/>
          <w:szCs w:val="16"/>
          <w:lang w:val="es-CO"/>
        </w:rPr>
      </w:pPr>
    </w:p>
    <w:p w14:paraId="104162E9" w14:textId="77777777" w:rsidR="00A51D40" w:rsidRPr="00A51D40" w:rsidRDefault="00A51D40" w:rsidP="006A318B">
      <w:pPr>
        <w:ind w:left="284" w:firstLine="0"/>
        <w:rPr>
          <w:sz w:val="16"/>
          <w:szCs w:val="16"/>
          <w:lang w:val="es-CO"/>
        </w:rPr>
      </w:pPr>
      <w:r w:rsidRPr="00A51D40">
        <w:rPr>
          <w:sz w:val="16"/>
          <w:szCs w:val="16"/>
          <w:lang w:val="es-CO"/>
        </w:rPr>
        <w:t>2.1. Patrimonios autónomos y fondos de capital privado</w:t>
      </w:r>
    </w:p>
    <w:p w14:paraId="377C3E31" w14:textId="77777777" w:rsidR="00A51D40" w:rsidRPr="00A51D40" w:rsidRDefault="00A51D40" w:rsidP="006A318B">
      <w:pPr>
        <w:ind w:left="284" w:firstLine="0"/>
        <w:rPr>
          <w:sz w:val="16"/>
          <w:szCs w:val="16"/>
          <w:lang w:val="es-CO"/>
        </w:rPr>
      </w:pPr>
      <w:r w:rsidRPr="00A51D40">
        <w:rPr>
          <w:sz w:val="16"/>
          <w:szCs w:val="16"/>
          <w:lang w:val="es-CO"/>
        </w:rPr>
        <w:t xml:space="preserve">2.2. Información de los vinculados del conglomerado financiero </w:t>
      </w:r>
    </w:p>
    <w:p w14:paraId="346AA476" w14:textId="77777777" w:rsidR="0099203D" w:rsidRPr="00A51D40" w:rsidRDefault="0099203D" w:rsidP="0099203D">
      <w:pPr>
        <w:pStyle w:val="Prrafodelista"/>
        <w:ind w:left="360" w:firstLine="0"/>
        <w:rPr>
          <w:rFonts w:cs="Arial"/>
          <w:b/>
          <w:sz w:val="16"/>
          <w:szCs w:val="16"/>
          <w:lang w:val="es-CO"/>
        </w:rPr>
      </w:pPr>
    </w:p>
    <w:p w14:paraId="7A34015B" w14:textId="77777777" w:rsidR="00A51D40" w:rsidRDefault="00AE4C5D" w:rsidP="00A51D40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3</w:t>
      </w:r>
      <w:r w:rsidR="00B62648">
        <w:rPr>
          <w:b/>
          <w:sz w:val="16"/>
          <w:szCs w:val="16"/>
          <w:lang w:val="es-CO"/>
        </w:rPr>
        <w:t xml:space="preserve">. </w:t>
      </w:r>
      <w:r w:rsidR="00A51D40" w:rsidRPr="00A51D40">
        <w:rPr>
          <w:b/>
          <w:sz w:val="16"/>
          <w:szCs w:val="16"/>
          <w:lang w:val="es-CO"/>
        </w:rPr>
        <w:t>OPERACIONES QUE SE COMPUTAN PARA EL CONTROL DE LOS LÍMITES DE LAS EXPOSICIONES AGREGADAS CON VINCULADOS Y ENTRE ENTIDADES DEL CONGLOMERADO FINANCIERO</w:t>
      </w:r>
    </w:p>
    <w:p w14:paraId="3824ECA1" w14:textId="77777777" w:rsidR="00083655" w:rsidRPr="00BE4846" w:rsidRDefault="00083655" w:rsidP="00A564C6">
      <w:pPr>
        <w:rPr>
          <w:rFonts w:cs="Arial"/>
          <w:b/>
          <w:sz w:val="16"/>
          <w:szCs w:val="16"/>
          <w:lang w:val="es-CO"/>
        </w:rPr>
      </w:pPr>
    </w:p>
    <w:p w14:paraId="7B96BDF7" w14:textId="77777777" w:rsidR="00A51D40" w:rsidRDefault="00AE4C5D" w:rsidP="00A51D40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4</w:t>
      </w:r>
      <w:r w:rsidR="00B62648">
        <w:rPr>
          <w:b/>
          <w:sz w:val="16"/>
          <w:szCs w:val="16"/>
          <w:lang w:val="es-CO"/>
        </w:rPr>
        <w:t xml:space="preserve">. </w:t>
      </w:r>
      <w:r w:rsidR="00A51D40" w:rsidRPr="00B1777D">
        <w:rPr>
          <w:b/>
          <w:sz w:val="16"/>
          <w:szCs w:val="16"/>
          <w:lang w:val="es-CO"/>
        </w:rPr>
        <w:t>CONTROL Y VIGILANCIA</w:t>
      </w:r>
    </w:p>
    <w:p w14:paraId="6102B8FF" w14:textId="77777777" w:rsidR="00A51D40" w:rsidRDefault="00A51D40" w:rsidP="00A51D40">
      <w:pPr>
        <w:ind w:left="0" w:firstLine="0"/>
        <w:rPr>
          <w:b/>
          <w:sz w:val="16"/>
          <w:szCs w:val="16"/>
          <w:lang w:val="es-CO"/>
        </w:rPr>
      </w:pPr>
    </w:p>
    <w:p w14:paraId="0F9F193B" w14:textId="12DA0F42" w:rsidR="008A403C" w:rsidRPr="0003416D" w:rsidRDefault="008A403C" w:rsidP="00910248">
      <w:pPr>
        <w:ind w:left="284" w:firstLine="0"/>
        <w:rPr>
          <w:sz w:val="16"/>
          <w:szCs w:val="16"/>
          <w:lang w:val="es-CO"/>
        </w:rPr>
      </w:pPr>
      <w:r w:rsidRPr="009A260D">
        <w:rPr>
          <w:sz w:val="16"/>
          <w:szCs w:val="16"/>
          <w:lang w:val="es-CO"/>
        </w:rPr>
        <w:t>4.1.</w:t>
      </w:r>
      <w:r>
        <w:rPr>
          <w:sz w:val="16"/>
          <w:szCs w:val="16"/>
          <w:lang w:val="es-CO"/>
        </w:rPr>
        <w:t xml:space="preserve"> </w:t>
      </w:r>
      <w:r w:rsidR="006A318B">
        <w:rPr>
          <w:sz w:val="16"/>
          <w:szCs w:val="16"/>
          <w:lang w:val="es-CO"/>
        </w:rPr>
        <w:t>Información</w:t>
      </w:r>
    </w:p>
    <w:p w14:paraId="6597A634" w14:textId="52880668" w:rsidR="00A51D40" w:rsidRPr="00A51D40" w:rsidRDefault="00AE4C5D" w:rsidP="00910248">
      <w:pPr>
        <w:ind w:left="284" w:firstLine="0"/>
        <w:rPr>
          <w:sz w:val="16"/>
          <w:szCs w:val="16"/>
          <w:lang w:val="es-CO"/>
        </w:rPr>
      </w:pPr>
      <w:r w:rsidRPr="008A403C">
        <w:rPr>
          <w:sz w:val="16"/>
          <w:szCs w:val="16"/>
          <w:lang w:val="es-CO"/>
        </w:rPr>
        <w:t>4</w:t>
      </w:r>
      <w:r w:rsidR="00A51D40" w:rsidRPr="008A403C">
        <w:rPr>
          <w:sz w:val="16"/>
          <w:szCs w:val="16"/>
          <w:lang w:val="es-CO"/>
        </w:rPr>
        <w:t>.</w:t>
      </w:r>
      <w:r w:rsidR="006A318B">
        <w:rPr>
          <w:sz w:val="16"/>
          <w:szCs w:val="16"/>
          <w:lang w:val="es-CO"/>
        </w:rPr>
        <w:t>2</w:t>
      </w:r>
      <w:r w:rsidR="00A51D40" w:rsidRPr="008A403C">
        <w:rPr>
          <w:sz w:val="16"/>
          <w:szCs w:val="16"/>
          <w:lang w:val="es-CO"/>
        </w:rPr>
        <w:t>. Operaciones entre las entidades del conglomerado financiero y con sus vinculados</w:t>
      </w:r>
    </w:p>
    <w:p w14:paraId="05CFF475" w14:textId="476A9CCC" w:rsidR="00A51D40" w:rsidRPr="00A51D40" w:rsidRDefault="00AE4C5D" w:rsidP="00910248">
      <w:pPr>
        <w:ind w:left="284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4</w:t>
      </w:r>
      <w:r w:rsidR="00A51D40" w:rsidRPr="00A51D40">
        <w:rPr>
          <w:sz w:val="16"/>
          <w:szCs w:val="16"/>
          <w:lang w:val="es-CO"/>
        </w:rPr>
        <w:t>.</w:t>
      </w:r>
      <w:r w:rsidR="006A318B">
        <w:rPr>
          <w:sz w:val="16"/>
          <w:szCs w:val="16"/>
          <w:lang w:val="es-CO"/>
        </w:rPr>
        <w:t>3</w:t>
      </w:r>
      <w:r w:rsidR="00A51D40" w:rsidRPr="00A51D40">
        <w:rPr>
          <w:sz w:val="16"/>
          <w:szCs w:val="16"/>
          <w:lang w:val="es-CO"/>
        </w:rPr>
        <w:t>. Límites de exposición y concentración de riesgos entre entidades del conglomerado financiero y con sus vinculados</w:t>
      </w:r>
    </w:p>
    <w:p w14:paraId="15E1DEA2" w14:textId="77777777" w:rsidR="008A403C" w:rsidRPr="00A51D40" w:rsidRDefault="008A403C" w:rsidP="00A51D40">
      <w:pPr>
        <w:ind w:left="0" w:firstLine="0"/>
        <w:rPr>
          <w:rFonts w:cs="Arial"/>
          <w:sz w:val="16"/>
          <w:szCs w:val="16"/>
          <w:lang w:val="es-CO"/>
        </w:rPr>
      </w:pPr>
    </w:p>
    <w:p w14:paraId="1526B430" w14:textId="77777777" w:rsidR="00A51D40" w:rsidRDefault="00AE4C5D" w:rsidP="00A51D40">
      <w:pPr>
        <w:ind w:left="0" w:firstLine="0"/>
        <w:rPr>
          <w:rFonts w:cs="Arial"/>
          <w:b/>
          <w:sz w:val="16"/>
          <w:szCs w:val="16"/>
          <w:lang w:val="es-ES"/>
        </w:rPr>
      </w:pPr>
      <w:r>
        <w:rPr>
          <w:b/>
          <w:sz w:val="16"/>
          <w:szCs w:val="16"/>
          <w:lang w:val="es-CO"/>
        </w:rPr>
        <w:t>5</w:t>
      </w:r>
      <w:r w:rsidR="00A51D40">
        <w:rPr>
          <w:b/>
          <w:sz w:val="16"/>
          <w:szCs w:val="16"/>
          <w:lang w:val="es-CO"/>
        </w:rPr>
        <w:t xml:space="preserve">. </w:t>
      </w:r>
      <w:r w:rsidR="00A51D40" w:rsidRPr="00084CB5">
        <w:rPr>
          <w:rFonts w:cs="Arial"/>
          <w:b/>
          <w:sz w:val="16"/>
          <w:szCs w:val="16"/>
          <w:lang w:val="es-ES"/>
        </w:rPr>
        <w:t>INCUMPLIMIENTOS</w:t>
      </w:r>
      <w:r w:rsidR="00A51D40">
        <w:rPr>
          <w:rFonts w:cs="Arial"/>
          <w:b/>
          <w:sz w:val="16"/>
          <w:szCs w:val="16"/>
          <w:lang w:val="es-ES"/>
        </w:rPr>
        <w:t xml:space="preserve"> Y SANCIONES </w:t>
      </w:r>
    </w:p>
    <w:p w14:paraId="08DB45EB" w14:textId="77777777" w:rsidR="00A51D40" w:rsidRPr="00BE4846" w:rsidRDefault="00A51D40" w:rsidP="00A51D40">
      <w:pPr>
        <w:ind w:left="0" w:firstLine="0"/>
        <w:rPr>
          <w:rFonts w:cs="Arial"/>
          <w:b/>
          <w:sz w:val="16"/>
          <w:szCs w:val="16"/>
          <w:lang w:val="es-CO"/>
        </w:rPr>
      </w:pPr>
    </w:p>
    <w:p w14:paraId="5F160FDA" w14:textId="77777777" w:rsidR="009C3E85" w:rsidRPr="00BE4846" w:rsidRDefault="008A403C" w:rsidP="00DD2D0C">
      <w:pPr>
        <w:tabs>
          <w:tab w:val="left" w:pos="8054"/>
        </w:tabs>
        <w:rPr>
          <w:rFonts w:cs="Arial"/>
          <w:b/>
          <w:sz w:val="16"/>
          <w:szCs w:val="16"/>
          <w:lang w:val="es-CO"/>
        </w:rPr>
      </w:pPr>
      <w:r>
        <w:rPr>
          <w:rFonts w:cs="Arial"/>
          <w:b/>
          <w:sz w:val="16"/>
          <w:szCs w:val="16"/>
          <w:lang w:val="es-CO"/>
        </w:rPr>
        <w:tab/>
      </w:r>
    </w:p>
    <w:p w14:paraId="6C6B02F9" w14:textId="77777777" w:rsidR="009C3E85" w:rsidRPr="00BE4846" w:rsidRDefault="009C3E85" w:rsidP="00A564C6">
      <w:pPr>
        <w:rPr>
          <w:rFonts w:cs="Arial"/>
          <w:b/>
          <w:sz w:val="16"/>
          <w:szCs w:val="16"/>
          <w:lang w:val="es-CO"/>
        </w:rPr>
      </w:pPr>
    </w:p>
    <w:p w14:paraId="605DF00F" w14:textId="77777777" w:rsidR="009C3E85" w:rsidRPr="00BE4846" w:rsidRDefault="009C3E85" w:rsidP="00A564C6">
      <w:pPr>
        <w:rPr>
          <w:rFonts w:cs="Arial"/>
          <w:b/>
          <w:sz w:val="16"/>
          <w:szCs w:val="16"/>
          <w:lang w:val="es-CO"/>
        </w:rPr>
      </w:pPr>
    </w:p>
    <w:p w14:paraId="0ECF54FB" w14:textId="77777777" w:rsidR="009C3E85" w:rsidRPr="00BE4846" w:rsidRDefault="009C3E85" w:rsidP="00A564C6">
      <w:pPr>
        <w:rPr>
          <w:rFonts w:cs="Arial"/>
          <w:b/>
          <w:sz w:val="16"/>
          <w:szCs w:val="16"/>
          <w:lang w:val="es-CO"/>
        </w:rPr>
      </w:pPr>
    </w:p>
    <w:p w14:paraId="42FBD961" w14:textId="77777777" w:rsidR="00083655" w:rsidRPr="00BE4846" w:rsidRDefault="00083655" w:rsidP="00A564C6">
      <w:pPr>
        <w:rPr>
          <w:rFonts w:cs="Arial"/>
          <w:b/>
          <w:sz w:val="16"/>
          <w:szCs w:val="16"/>
          <w:lang w:val="es-CO"/>
        </w:rPr>
      </w:pPr>
    </w:p>
    <w:p w14:paraId="52CF40EB" w14:textId="77777777" w:rsidR="009D6029" w:rsidRPr="00BE4846" w:rsidRDefault="009D6029" w:rsidP="00A564C6">
      <w:pPr>
        <w:rPr>
          <w:rFonts w:cs="Arial"/>
          <w:b/>
          <w:sz w:val="16"/>
          <w:szCs w:val="16"/>
          <w:lang w:val="es-CO"/>
        </w:rPr>
      </w:pPr>
    </w:p>
    <w:p w14:paraId="73FA59AD" w14:textId="77777777" w:rsidR="009C3E85" w:rsidRPr="00BE4846" w:rsidRDefault="009C3E85" w:rsidP="00A564C6">
      <w:pPr>
        <w:rPr>
          <w:rFonts w:cs="Arial"/>
          <w:b/>
          <w:sz w:val="16"/>
          <w:szCs w:val="16"/>
          <w:lang w:val="es-CO"/>
        </w:rPr>
      </w:pPr>
    </w:p>
    <w:p w14:paraId="664F27AC" w14:textId="77777777" w:rsidR="009C3E85" w:rsidRPr="00BE4846" w:rsidRDefault="009C3E85" w:rsidP="00A564C6">
      <w:pPr>
        <w:rPr>
          <w:rFonts w:cs="Arial"/>
          <w:b/>
          <w:sz w:val="16"/>
          <w:szCs w:val="16"/>
          <w:lang w:val="es-CO"/>
        </w:rPr>
      </w:pPr>
    </w:p>
    <w:p w14:paraId="05B1EBFF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15B74871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3362D05F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70E0A4A0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75187F57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47DA1821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14DC76A5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68C04472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330EC592" w14:textId="77777777" w:rsidR="00925FBD" w:rsidRPr="00BE4846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58BE4B0D" w14:textId="77777777" w:rsidR="001242BA" w:rsidRPr="00BE4846" w:rsidRDefault="001242BA" w:rsidP="00A564C6">
      <w:pPr>
        <w:jc w:val="center"/>
        <w:rPr>
          <w:rFonts w:cs="Arial"/>
          <w:b/>
          <w:sz w:val="16"/>
          <w:szCs w:val="16"/>
        </w:rPr>
      </w:pPr>
    </w:p>
    <w:p w14:paraId="175229D6" w14:textId="77777777" w:rsidR="001242BA" w:rsidRPr="00BE4846" w:rsidRDefault="001242BA" w:rsidP="00A564C6">
      <w:pPr>
        <w:jc w:val="center"/>
        <w:rPr>
          <w:rFonts w:cs="Arial"/>
          <w:b/>
          <w:sz w:val="16"/>
          <w:szCs w:val="16"/>
        </w:rPr>
      </w:pPr>
    </w:p>
    <w:p w14:paraId="461BB0BD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F580CC4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5FEE8754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5CCA9055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620FFF84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1ACA67B6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61F97526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3A10304F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1A1A2A0F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78CC2F61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4C428357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EB5780C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02CB3D3A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49F89DE1" w14:textId="77777777" w:rsidR="001D494D" w:rsidRPr="00BE4846" w:rsidRDefault="001D494D" w:rsidP="00506BD0">
      <w:pPr>
        <w:jc w:val="right"/>
        <w:rPr>
          <w:rFonts w:cs="Arial"/>
          <w:b/>
          <w:sz w:val="16"/>
          <w:szCs w:val="16"/>
        </w:rPr>
      </w:pPr>
    </w:p>
    <w:p w14:paraId="61CDA957" w14:textId="77777777" w:rsidR="001D494D" w:rsidRPr="00BE4846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9E64EF7" w14:textId="77777777" w:rsidR="007C3D6A" w:rsidRDefault="007C3D6A" w:rsidP="00A564C6">
      <w:pPr>
        <w:jc w:val="center"/>
        <w:rPr>
          <w:rFonts w:cs="Arial"/>
          <w:b/>
          <w:sz w:val="16"/>
          <w:szCs w:val="16"/>
        </w:rPr>
      </w:pPr>
    </w:p>
    <w:p w14:paraId="037023D7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001B94E0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3D2AF778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346482E0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0EFD89CB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2F9BEFFD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0C527C14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536EC376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5B4D688C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43B0A52A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6ABD2215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74D17A0F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23448A03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176F529C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24C0E305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16D20113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117FE99B" w14:textId="77777777" w:rsidR="007C3D6A" w:rsidRPr="00E2606E" w:rsidRDefault="007C3D6A" w:rsidP="00E2606E">
      <w:pPr>
        <w:rPr>
          <w:rFonts w:cs="Arial"/>
          <w:sz w:val="16"/>
          <w:szCs w:val="16"/>
        </w:rPr>
      </w:pPr>
    </w:p>
    <w:p w14:paraId="73319F85" w14:textId="77777777" w:rsidR="00A10F1C" w:rsidRPr="00E2606E" w:rsidRDefault="00A10F1C" w:rsidP="00E2606E">
      <w:pPr>
        <w:rPr>
          <w:rFonts w:cs="Arial"/>
          <w:sz w:val="16"/>
          <w:szCs w:val="16"/>
        </w:rPr>
        <w:sectPr w:rsidR="00A10F1C" w:rsidRPr="00E2606E" w:rsidSect="00BC4067">
          <w:headerReference w:type="default" r:id="rId11"/>
          <w:footerReference w:type="default" r:id="rId12"/>
          <w:pgSz w:w="12242" w:h="18722" w:code="14"/>
          <w:pgMar w:top="1418" w:right="1701" w:bottom="1418" w:left="1701" w:header="851" w:footer="1418" w:gutter="0"/>
          <w:cols w:space="708"/>
          <w:docGrid w:linePitch="360"/>
        </w:sectPr>
      </w:pPr>
    </w:p>
    <w:p w14:paraId="51C1A4B5" w14:textId="77777777" w:rsidR="00C0457F" w:rsidRPr="00BE4846" w:rsidRDefault="00C0457F" w:rsidP="00A564C6">
      <w:pPr>
        <w:jc w:val="center"/>
        <w:rPr>
          <w:rFonts w:cs="Arial"/>
          <w:b/>
          <w:sz w:val="16"/>
          <w:szCs w:val="16"/>
        </w:rPr>
      </w:pPr>
      <w:r w:rsidRPr="00BE4846">
        <w:rPr>
          <w:rFonts w:cs="Arial"/>
          <w:b/>
          <w:sz w:val="16"/>
          <w:szCs w:val="16"/>
        </w:rPr>
        <w:lastRenderedPageBreak/>
        <w:t>PARTE I</w:t>
      </w:r>
    </w:p>
    <w:p w14:paraId="0CD8831B" w14:textId="77777777" w:rsidR="00C0457F" w:rsidRPr="00BE4846" w:rsidRDefault="00C0457F" w:rsidP="00A564C6">
      <w:pPr>
        <w:jc w:val="center"/>
        <w:rPr>
          <w:rFonts w:cs="Arial"/>
          <w:b/>
          <w:sz w:val="16"/>
          <w:szCs w:val="16"/>
        </w:rPr>
      </w:pPr>
      <w:r w:rsidRPr="00BE4846">
        <w:rPr>
          <w:rFonts w:cs="Arial"/>
          <w:b/>
          <w:sz w:val="16"/>
          <w:szCs w:val="16"/>
        </w:rPr>
        <w:t>INSTRUCCIONES GENERALES APLICABLES A LAS ENTIDADES VIGILADAS</w:t>
      </w:r>
    </w:p>
    <w:p w14:paraId="692A63FE" w14:textId="77777777" w:rsidR="00C0457F" w:rsidRPr="00BE4846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1A4B0887" w14:textId="77777777" w:rsidR="00927B3E" w:rsidRPr="00BE4846" w:rsidRDefault="00927B3E" w:rsidP="00A564C6">
      <w:pPr>
        <w:jc w:val="center"/>
        <w:rPr>
          <w:rFonts w:cs="Arial"/>
          <w:b/>
          <w:sz w:val="16"/>
          <w:szCs w:val="16"/>
        </w:rPr>
      </w:pPr>
      <w:r w:rsidRPr="00BE4846">
        <w:rPr>
          <w:rFonts w:cs="Arial"/>
          <w:b/>
          <w:sz w:val="16"/>
          <w:szCs w:val="16"/>
        </w:rPr>
        <w:t>TÍTULO V</w:t>
      </w:r>
    </w:p>
    <w:p w14:paraId="4B92E32E" w14:textId="77777777" w:rsidR="00927B3E" w:rsidRPr="00BE4846" w:rsidRDefault="00927B3E" w:rsidP="00A564C6">
      <w:pPr>
        <w:jc w:val="center"/>
        <w:rPr>
          <w:rFonts w:cs="Arial"/>
          <w:b/>
          <w:sz w:val="16"/>
          <w:szCs w:val="16"/>
        </w:rPr>
      </w:pPr>
      <w:r w:rsidRPr="00BE4846">
        <w:rPr>
          <w:rFonts w:cs="Arial"/>
          <w:b/>
          <w:sz w:val="16"/>
          <w:szCs w:val="16"/>
        </w:rPr>
        <w:t>INSTRUCCIONES RELATIVAS A L</w:t>
      </w:r>
      <w:r w:rsidR="006E0C58" w:rsidRPr="00BE4846">
        <w:rPr>
          <w:rFonts w:cs="Arial"/>
          <w:b/>
          <w:sz w:val="16"/>
          <w:szCs w:val="16"/>
        </w:rPr>
        <w:t>OS HOLDINGS FINANCIEROS</w:t>
      </w:r>
    </w:p>
    <w:p w14:paraId="5D224821" w14:textId="77777777" w:rsidR="00927B3E" w:rsidRPr="00BE4846" w:rsidRDefault="00927B3E" w:rsidP="00A564C6">
      <w:pPr>
        <w:jc w:val="center"/>
        <w:rPr>
          <w:rFonts w:cs="Arial"/>
          <w:b/>
          <w:sz w:val="16"/>
          <w:szCs w:val="16"/>
        </w:rPr>
      </w:pPr>
    </w:p>
    <w:p w14:paraId="40A34677" w14:textId="77777777" w:rsidR="00BE4846" w:rsidRPr="00BE4846" w:rsidRDefault="00BE4846" w:rsidP="00910248">
      <w:pPr>
        <w:ind w:left="360" w:firstLine="0"/>
        <w:jc w:val="center"/>
        <w:rPr>
          <w:rFonts w:cs="Arial"/>
          <w:b/>
          <w:sz w:val="16"/>
          <w:szCs w:val="16"/>
          <w:lang w:val="es-CO"/>
        </w:rPr>
      </w:pPr>
      <w:r w:rsidRPr="00A74171">
        <w:rPr>
          <w:rFonts w:cs="Arial"/>
          <w:b/>
          <w:sz w:val="16"/>
          <w:szCs w:val="16"/>
        </w:rPr>
        <w:t xml:space="preserve">CAPÍTULO II: </w:t>
      </w:r>
      <w:r w:rsidR="000823AF">
        <w:rPr>
          <w:rFonts w:cs="Arial"/>
          <w:b/>
          <w:sz w:val="16"/>
          <w:szCs w:val="16"/>
          <w:lang w:val="es-CO"/>
        </w:rPr>
        <w:t xml:space="preserve">VINCULADOS </w:t>
      </w:r>
      <w:r w:rsidRPr="00A74171">
        <w:rPr>
          <w:rFonts w:cs="Arial"/>
          <w:b/>
          <w:sz w:val="16"/>
          <w:szCs w:val="16"/>
          <w:lang w:val="es-CO"/>
        </w:rPr>
        <w:t>Y LÍMITES DE EXPOSICIÓN Y CONCENTRACIÓN DE RIESGOS</w:t>
      </w:r>
    </w:p>
    <w:p w14:paraId="52D321A4" w14:textId="77777777" w:rsidR="00BE4846" w:rsidRDefault="00BE4846" w:rsidP="00BE4846">
      <w:pPr>
        <w:tabs>
          <w:tab w:val="left" w:pos="426"/>
        </w:tabs>
        <w:rPr>
          <w:rFonts w:cs="Arial"/>
          <w:b/>
          <w:sz w:val="16"/>
          <w:szCs w:val="16"/>
          <w:lang w:val="es-ES"/>
        </w:rPr>
      </w:pPr>
    </w:p>
    <w:p w14:paraId="08BE6553" w14:textId="77777777" w:rsidR="00BE4846" w:rsidRPr="00BE4846" w:rsidRDefault="00BE4846" w:rsidP="00BE4846">
      <w:pPr>
        <w:tabs>
          <w:tab w:val="left" w:pos="426"/>
        </w:tabs>
        <w:rPr>
          <w:rFonts w:cs="Arial"/>
          <w:b/>
          <w:sz w:val="16"/>
          <w:szCs w:val="16"/>
          <w:lang w:val="es-ES"/>
        </w:rPr>
      </w:pPr>
    </w:p>
    <w:p w14:paraId="0B41E557" w14:textId="77777777" w:rsidR="00BE4846" w:rsidRPr="00BE4846" w:rsidRDefault="00BE4846" w:rsidP="00BE4846">
      <w:pPr>
        <w:tabs>
          <w:tab w:val="left" w:pos="0"/>
        </w:tabs>
        <w:ind w:left="0" w:firstLine="0"/>
        <w:rPr>
          <w:rFonts w:cs="Arial"/>
          <w:b/>
          <w:sz w:val="16"/>
          <w:szCs w:val="16"/>
          <w:lang w:val="es-ES"/>
        </w:rPr>
      </w:pPr>
      <w:r w:rsidRPr="00BE4846">
        <w:rPr>
          <w:rFonts w:cs="Arial"/>
          <w:b/>
          <w:sz w:val="16"/>
          <w:szCs w:val="16"/>
          <w:lang w:val="es-ES"/>
        </w:rPr>
        <w:t>1. GENERALIDADES</w:t>
      </w:r>
    </w:p>
    <w:p w14:paraId="7A07F951" w14:textId="77777777" w:rsidR="00BE4846" w:rsidRPr="00BE4846" w:rsidRDefault="00BE4846" w:rsidP="00BE4846">
      <w:pPr>
        <w:tabs>
          <w:tab w:val="left" w:pos="0"/>
        </w:tabs>
        <w:ind w:left="0" w:firstLine="0"/>
        <w:rPr>
          <w:rFonts w:cs="Arial"/>
          <w:sz w:val="16"/>
          <w:szCs w:val="16"/>
          <w:lang w:val="es-ES"/>
        </w:rPr>
      </w:pPr>
    </w:p>
    <w:p w14:paraId="1EF499E7" w14:textId="6B17395B" w:rsidR="00BE4846" w:rsidRPr="001E1FC5" w:rsidRDefault="00084CB5" w:rsidP="00BE4846">
      <w:pPr>
        <w:ind w:left="0" w:firstLine="0"/>
        <w:rPr>
          <w:sz w:val="16"/>
          <w:szCs w:val="16"/>
          <w:lang w:val="es-CO"/>
        </w:rPr>
      </w:pPr>
      <w:r>
        <w:rPr>
          <w:rFonts w:cs="Arial"/>
          <w:sz w:val="16"/>
          <w:szCs w:val="16"/>
          <w:lang w:val="es-ES"/>
        </w:rPr>
        <w:t>L</w:t>
      </w:r>
      <w:r w:rsidR="00A74171">
        <w:rPr>
          <w:sz w:val="16"/>
          <w:szCs w:val="16"/>
          <w:lang w:val="es-CO"/>
        </w:rPr>
        <w:t>os holdings financieros están sujetos a la inspección y vigilancia de la SFC en virtud del artículo 4 de la Ley 1870 de 2017</w:t>
      </w:r>
      <w:r w:rsidR="001E1FC5">
        <w:rPr>
          <w:sz w:val="16"/>
          <w:szCs w:val="16"/>
          <w:lang w:val="es-CO"/>
        </w:rPr>
        <w:t xml:space="preserve">, y en su calidad de controlante y/o de la entidad que ejerce influencia significativa sobre </w:t>
      </w:r>
      <w:r w:rsidR="00C92652">
        <w:rPr>
          <w:sz w:val="16"/>
          <w:szCs w:val="16"/>
          <w:lang w:val="es-CO"/>
        </w:rPr>
        <w:t>las entidades que conforman un c</w:t>
      </w:r>
      <w:r w:rsidR="001E1FC5">
        <w:rPr>
          <w:sz w:val="16"/>
          <w:szCs w:val="16"/>
          <w:lang w:val="es-CO"/>
        </w:rPr>
        <w:t xml:space="preserve">onglomerado financiero, </w:t>
      </w:r>
      <w:r w:rsidR="00A74171">
        <w:rPr>
          <w:sz w:val="16"/>
          <w:szCs w:val="16"/>
          <w:lang w:val="es-CO"/>
        </w:rPr>
        <w:t>son los responsables de identificar, actualizar permanentemente y mantener a disposición de la SFC la informaci</w:t>
      </w:r>
      <w:r w:rsidR="00295BFE">
        <w:rPr>
          <w:sz w:val="16"/>
          <w:szCs w:val="16"/>
          <w:lang w:val="es-CO"/>
        </w:rPr>
        <w:t>ón acerca de su</w:t>
      </w:r>
      <w:r w:rsidR="00A74171">
        <w:rPr>
          <w:sz w:val="16"/>
          <w:szCs w:val="16"/>
          <w:lang w:val="es-CO"/>
        </w:rPr>
        <w:t>s vinculados</w:t>
      </w:r>
      <w:r w:rsidR="00C856A9">
        <w:rPr>
          <w:sz w:val="16"/>
          <w:szCs w:val="16"/>
          <w:lang w:val="es-CO"/>
        </w:rPr>
        <w:t xml:space="preserve">. </w:t>
      </w:r>
      <w:r w:rsidR="00C856A9" w:rsidRPr="00C856A9">
        <w:rPr>
          <w:sz w:val="16"/>
          <w:szCs w:val="16"/>
          <w:lang w:val="es-CO"/>
        </w:rPr>
        <w:t>Así mismo, son los responsables de informar a la SFC</w:t>
      </w:r>
      <w:r w:rsidR="001E1FC5">
        <w:rPr>
          <w:sz w:val="16"/>
          <w:szCs w:val="16"/>
          <w:lang w:val="es-CO"/>
        </w:rPr>
        <w:t xml:space="preserve"> </w:t>
      </w:r>
      <w:r w:rsidR="00A74171">
        <w:rPr>
          <w:sz w:val="16"/>
          <w:szCs w:val="16"/>
          <w:lang w:val="es-CO"/>
        </w:rPr>
        <w:t>las exposiciones vigentes con éstos</w:t>
      </w:r>
      <w:r w:rsidR="001E1FC5">
        <w:rPr>
          <w:sz w:val="16"/>
          <w:szCs w:val="16"/>
          <w:lang w:val="es-CO"/>
        </w:rPr>
        <w:t xml:space="preserve"> y</w:t>
      </w:r>
      <w:r w:rsidR="00A74171">
        <w:rPr>
          <w:sz w:val="16"/>
          <w:szCs w:val="16"/>
          <w:lang w:val="es-CO"/>
        </w:rPr>
        <w:t xml:space="preserve"> la información relacionada con las operaciones que se realicen entre las entidades que conforman el conglomerado</w:t>
      </w:r>
      <w:r w:rsidR="001E1FC5">
        <w:rPr>
          <w:sz w:val="16"/>
          <w:szCs w:val="16"/>
          <w:lang w:val="es-CO"/>
        </w:rPr>
        <w:t>, en línea con lo esta</w:t>
      </w:r>
      <w:r w:rsidR="00A74171">
        <w:rPr>
          <w:sz w:val="16"/>
          <w:szCs w:val="16"/>
          <w:lang w:val="es-CO"/>
        </w:rPr>
        <w:t xml:space="preserve">blecido en </w:t>
      </w:r>
      <w:r w:rsidR="00752E54" w:rsidRPr="00752E54">
        <w:rPr>
          <w:sz w:val="16"/>
          <w:szCs w:val="16"/>
          <w:lang w:val="es-CO"/>
        </w:rPr>
        <w:t xml:space="preserve">el Título 3 del Libro 39 de la Parte 2 del Decreto 2555 de 2010. </w:t>
      </w:r>
    </w:p>
    <w:p w14:paraId="28C107F7" w14:textId="77777777" w:rsidR="00084CB5" w:rsidRDefault="00084CB5" w:rsidP="00BE4846">
      <w:pPr>
        <w:ind w:left="0" w:firstLine="0"/>
        <w:rPr>
          <w:sz w:val="16"/>
          <w:szCs w:val="16"/>
          <w:lang w:val="es-CO"/>
        </w:rPr>
      </w:pPr>
    </w:p>
    <w:p w14:paraId="105B486E" w14:textId="77777777" w:rsidR="00A74171" w:rsidRPr="00B1777D" w:rsidRDefault="00295BFE" w:rsidP="00A7417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Para el</w:t>
      </w:r>
      <w:r w:rsidR="00A74171">
        <w:rPr>
          <w:sz w:val="16"/>
          <w:szCs w:val="16"/>
          <w:lang w:val="es-CO"/>
        </w:rPr>
        <w:t xml:space="preserve"> e</w:t>
      </w:r>
      <w:r>
        <w:rPr>
          <w:sz w:val="16"/>
          <w:szCs w:val="16"/>
          <w:lang w:val="es-CO"/>
        </w:rPr>
        <w:t>fecto</w:t>
      </w:r>
      <w:r w:rsidR="001E1FC5">
        <w:rPr>
          <w:sz w:val="16"/>
          <w:szCs w:val="16"/>
          <w:lang w:val="es-CO"/>
        </w:rPr>
        <w:t xml:space="preserve"> los </w:t>
      </w:r>
      <w:r w:rsidR="00A74171" w:rsidRPr="00B1777D">
        <w:rPr>
          <w:sz w:val="16"/>
          <w:szCs w:val="16"/>
          <w:lang w:val="es-CO"/>
        </w:rPr>
        <w:t>holding</w:t>
      </w:r>
      <w:r w:rsidR="001E1FC5">
        <w:rPr>
          <w:sz w:val="16"/>
          <w:szCs w:val="16"/>
          <w:lang w:val="es-CO"/>
        </w:rPr>
        <w:t>s</w:t>
      </w:r>
      <w:r w:rsidR="00A74171" w:rsidRPr="00B1777D">
        <w:rPr>
          <w:sz w:val="16"/>
          <w:szCs w:val="16"/>
          <w:lang w:val="es-CO"/>
        </w:rPr>
        <w:t xml:space="preserve"> financiero</w:t>
      </w:r>
      <w:r w:rsidR="001E1FC5">
        <w:rPr>
          <w:sz w:val="16"/>
          <w:szCs w:val="16"/>
          <w:lang w:val="es-CO"/>
        </w:rPr>
        <w:t>s</w:t>
      </w:r>
      <w:r w:rsidR="00A74171">
        <w:rPr>
          <w:sz w:val="16"/>
          <w:szCs w:val="16"/>
          <w:lang w:val="es-CO"/>
        </w:rPr>
        <w:t xml:space="preserve"> </w:t>
      </w:r>
      <w:r w:rsidR="001E1FC5">
        <w:rPr>
          <w:sz w:val="16"/>
          <w:szCs w:val="16"/>
          <w:lang w:val="es-CO"/>
        </w:rPr>
        <w:t>deben contar con políticas,</w:t>
      </w:r>
      <w:r w:rsidR="00A74171" w:rsidRPr="00B1777D">
        <w:rPr>
          <w:sz w:val="16"/>
          <w:szCs w:val="16"/>
          <w:lang w:val="es-CO"/>
        </w:rPr>
        <w:t xml:space="preserve"> procesos </w:t>
      </w:r>
      <w:r w:rsidR="001E1FC5">
        <w:rPr>
          <w:sz w:val="16"/>
          <w:szCs w:val="16"/>
          <w:lang w:val="es-CO"/>
        </w:rPr>
        <w:t xml:space="preserve">y mecanismos </w:t>
      </w:r>
      <w:r w:rsidR="00A74171">
        <w:rPr>
          <w:sz w:val="16"/>
          <w:szCs w:val="16"/>
          <w:lang w:val="es-CO"/>
        </w:rPr>
        <w:t>que le</w:t>
      </w:r>
      <w:r w:rsidR="001E1FC5">
        <w:rPr>
          <w:sz w:val="16"/>
          <w:szCs w:val="16"/>
          <w:lang w:val="es-CO"/>
        </w:rPr>
        <w:t>s permitan</w:t>
      </w:r>
      <w:r w:rsidR="00A74171">
        <w:rPr>
          <w:sz w:val="16"/>
          <w:szCs w:val="16"/>
          <w:lang w:val="es-CO"/>
        </w:rPr>
        <w:t xml:space="preserve"> </w:t>
      </w:r>
      <w:r w:rsidR="001E1FC5">
        <w:rPr>
          <w:sz w:val="16"/>
          <w:szCs w:val="16"/>
          <w:lang w:val="es-CO"/>
        </w:rPr>
        <w:t>cumplir con</w:t>
      </w:r>
      <w:r w:rsidR="00A74171">
        <w:rPr>
          <w:sz w:val="16"/>
          <w:szCs w:val="16"/>
          <w:lang w:val="es-CO"/>
        </w:rPr>
        <w:t xml:space="preserve"> esta</w:t>
      </w:r>
      <w:r w:rsidR="00241B48">
        <w:rPr>
          <w:sz w:val="16"/>
          <w:szCs w:val="16"/>
          <w:lang w:val="es-CO"/>
        </w:rPr>
        <w:t>s</w:t>
      </w:r>
      <w:r w:rsidR="00A74171">
        <w:rPr>
          <w:sz w:val="16"/>
          <w:szCs w:val="16"/>
          <w:lang w:val="es-CO"/>
        </w:rPr>
        <w:t xml:space="preserve"> responsabilidad</w:t>
      </w:r>
      <w:r w:rsidR="00241B48">
        <w:rPr>
          <w:sz w:val="16"/>
          <w:szCs w:val="16"/>
          <w:lang w:val="es-CO"/>
        </w:rPr>
        <w:t>es</w:t>
      </w:r>
      <w:r w:rsidR="001E1FC5">
        <w:rPr>
          <w:sz w:val="16"/>
          <w:szCs w:val="16"/>
          <w:lang w:val="es-CO"/>
        </w:rPr>
        <w:t xml:space="preserve">. Por su parte, </w:t>
      </w:r>
      <w:r w:rsidR="000D1C59">
        <w:rPr>
          <w:sz w:val="16"/>
          <w:szCs w:val="16"/>
          <w:lang w:val="es-CO"/>
        </w:rPr>
        <w:t>la</w:t>
      </w:r>
      <w:r w:rsidR="00A74171" w:rsidRPr="00B1777D">
        <w:rPr>
          <w:sz w:val="16"/>
          <w:szCs w:val="16"/>
          <w:lang w:val="es-CO"/>
        </w:rPr>
        <w:t>s entidades que conforman el</w:t>
      </w:r>
      <w:r w:rsidR="000D1C59">
        <w:rPr>
          <w:sz w:val="16"/>
          <w:szCs w:val="16"/>
          <w:lang w:val="es-CO"/>
        </w:rPr>
        <w:t xml:space="preserve"> conglomerado financiero deben </w:t>
      </w:r>
      <w:r w:rsidR="00A74171" w:rsidRPr="00B1777D">
        <w:rPr>
          <w:sz w:val="16"/>
          <w:szCs w:val="16"/>
          <w:lang w:val="es-CO"/>
        </w:rPr>
        <w:t>preparar y poner a dispo</w:t>
      </w:r>
      <w:r w:rsidR="000D1C59">
        <w:rPr>
          <w:sz w:val="16"/>
          <w:szCs w:val="16"/>
          <w:lang w:val="es-CO"/>
        </w:rPr>
        <w:t xml:space="preserve">sición del holding financiero </w:t>
      </w:r>
      <w:r w:rsidR="001E1FC5">
        <w:rPr>
          <w:sz w:val="16"/>
          <w:szCs w:val="16"/>
          <w:lang w:val="es-CO"/>
        </w:rPr>
        <w:t xml:space="preserve">toda </w:t>
      </w:r>
      <w:r w:rsidR="000D1C59">
        <w:rPr>
          <w:sz w:val="16"/>
          <w:szCs w:val="16"/>
          <w:lang w:val="es-CO"/>
        </w:rPr>
        <w:t>la</w:t>
      </w:r>
      <w:r w:rsidR="00A74171" w:rsidRPr="00B1777D">
        <w:rPr>
          <w:sz w:val="16"/>
          <w:szCs w:val="16"/>
          <w:lang w:val="es-CO"/>
        </w:rPr>
        <w:t xml:space="preserve"> información necesaria para </w:t>
      </w:r>
      <w:r w:rsidR="001E1FC5">
        <w:rPr>
          <w:sz w:val="16"/>
          <w:szCs w:val="16"/>
          <w:lang w:val="es-CO"/>
        </w:rPr>
        <w:t>la identificación de sus vinculados y contar con los mecanismos adecuados para reportar</w:t>
      </w:r>
      <w:r w:rsidR="00A55B7A">
        <w:rPr>
          <w:sz w:val="16"/>
          <w:szCs w:val="16"/>
          <w:lang w:val="es-CO"/>
        </w:rPr>
        <w:t>le</w:t>
      </w:r>
      <w:r w:rsidR="001E1FC5">
        <w:rPr>
          <w:sz w:val="16"/>
          <w:szCs w:val="16"/>
          <w:lang w:val="es-CO"/>
        </w:rPr>
        <w:t xml:space="preserve"> las operaciones que realicen con </w:t>
      </w:r>
      <w:r w:rsidR="00A55B7A">
        <w:rPr>
          <w:sz w:val="16"/>
          <w:szCs w:val="16"/>
          <w:lang w:val="es-CO"/>
        </w:rPr>
        <w:t>éstos</w:t>
      </w:r>
      <w:r w:rsidR="001E1FC5">
        <w:rPr>
          <w:sz w:val="16"/>
          <w:szCs w:val="16"/>
          <w:lang w:val="es-CO"/>
        </w:rPr>
        <w:t xml:space="preserve">, así como las operaciones </w:t>
      </w:r>
      <w:r w:rsidR="00673DD6">
        <w:rPr>
          <w:sz w:val="16"/>
          <w:szCs w:val="16"/>
          <w:lang w:val="es-CO"/>
        </w:rPr>
        <w:t xml:space="preserve">que realicen </w:t>
      </w:r>
      <w:r w:rsidR="001E1FC5">
        <w:rPr>
          <w:sz w:val="16"/>
          <w:szCs w:val="16"/>
          <w:lang w:val="es-CO"/>
        </w:rPr>
        <w:t xml:space="preserve">con </w:t>
      </w:r>
      <w:r w:rsidR="00A55B7A">
        <w:rPr>
          <w:sz w:val="16"/>
          <w:szCs w:val="16"/>
          <w:lang w:val="es-CO"/>
        </w:rPr>
        <w:t xml:space="preserve">otras </w:t>
      </w:r>
      <w:r w:rsidR="001E1FC5">
        <w:rPr>
          <w:sz w:val="16"/>
          <w:szCs w:val="16"/>
          <w:lang w:val="es-CO"/>
        </w:rPr>
        <w:t xml:space="preserve">entidades del conglomerado. </w:t>
      </w:r>
    </w:p>
    <w:p w14:paraId="18F65232" w14:textId="77777777" w:rsidR="00A74171" w:rsidRDefault="00A74171" w:rsidP="00BE4846">
      <w:pPr>
        <w:ind w:left="0" w:firstLine="0"/>
        <w:rPr>
          <w:sz w:val="16"/>
          <w:szCs w:val="16"/>
          <w:lang w:val="es-CO"/>
        </w:rPr>
      </w:pPr>
    </w:p>
    <w:p w14:paraId="3CBBFE6A" w14:textId="77777777" w:rsidR="004B3DD6" w:rsidRDefault="004B3DD6" w:rsidP="00BE4846">
      <w:pPr>
        <w:ind w:left="0" w:firstLine="0"/>
        <w:rPr>
          <w:sz w:val="16"/>
          <w:szCs w:val="16"/>
          <w:lang w:val="es-CO"/>
        </w:rPr>
      </w:pPr>
    </w:p>
    <w:p w14:paraId="131BEF78" w14:textId="77777777" w:rsidR="00673DD6" w:rsidRPr="004B3DD6" w:rsidRDefault="00673DD6" w:rsidP="00673DD6">
      <w:pPr>
        <w:ind w:left="0" w:firstLine="0"/>
        <w:rPr>
          <w:b/>
          <w:sz w:val="16"/>
          <w:szCs w:val="16"/>
          <w:lang w:val="es-CO"/>
        </w:rPr>
      </w:pPr>
      <w:r w:rsidRPr="004B3DD6">
        <w:rPr>
          <w:b/>
          <w:sz w:val="16"/>
          <w:szCs w:val="16"/>
          <w:lang w:val="es-CO"/>
        </w:rPr>
        <w:t xml:space="preserve">2. VINCULADOS AL CONGLOMERADO FINANCIERO </w:t>
      </w:r>
    </w:p>
    <w:p w14:paraId="74A4DD4D" w14:textId="77777777" w:rsidR="00075611" w:rsidRDefault="00075611" w:rsidP="00673DD6">
      <w:pPr>
        <w:ind w:left="0" w:firstLine="0"/>
        <w:rPr>
          <w:sz w:val="16"/>
          <w:szCs w:val="16"/>
          <w:lang w:val="es-CO"/>
        </w:rPr>
      </w:pPr>
    </w:p>
    <w:p w14:paraId="73CADC3D" w14:textId="77777777" w:rsidR="00075611" w:rsidRPr="00075611" w:rsidRDefault="00075611" w:rsidP="00673DD6">
      <w:pPr>
        <w:ind w:left="0" w:firstLine="0"/>
        <w:rPr>
          <w:b/>
          <w:sz w:val="16"/>
          <w:szCs w:val="16"/>
          <w:lang w:val="es-CO"/>
        </w:rPr>
      </w:pPr>
      <w:r w:rsidRPr="00075611">
        <w:rPr>
          <w:b/>
          <w:sz w:val="16"/>
          <w:szCs w:val="16"/>
          <w:lang w:val="es-CO"/>
        </w:rPr>
        <w:t>2.1. Patrimonios autónomos y fondos de capital privado</w:t>
      </w:r>
    </w:p>
    <w:p w14:paraId="4870075F" w14:textId="77777777" w:rsidR="00075611" w:rsidRDefault="00075611" w:rsidP="00673DD6">
      <w:pPr>
        <w:ind w:left="0" w:firstLine="0"/>
        <w:rPr>
          <w:sz w:val="16"/>
          <w:szCs w:val="16"/>
          <w:lang w:val="es-CO"/>
        </w:rPr>
      </w:pPr>
    </w:p>
    <w:p w14:paraId="0CD7A10E" w14:textId="77777777" w:rsidR="00295BFE" w:rsidRDefault="00295BFE" w:rsidP="00673DD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En el caso de los patrimonios autónomos y los fondos de capital privado, para determinar si son vinculados a un conglomerado financiero, se deben tener en cuenta las si</w:t>
      </w:r>
      <w:r w:rsidR="00E45E4B">
        <w:rPr>
          <w:sz w:val="16"/>
          <w:szCs w:val="16"/>
          <w:lang w:val="es-CO"/>
        </w:rPr>
        <w:t>guientes instrucciones:</w:t>
      </w:r>
    </w:p>
    <w:p w14:paraId="474A4BE2" w14:textId="77777777" w:rsidR="00295BFE" w:rsidRDefault="00295BFE" w:rsidP="00673DD6">
      <w:pPr>
        <w:ind w:left="0" w:firstLine="0"/>
        <w:rPr>
          <w:sz w:val="16"/>
          <w:szCs w:val="16"/>
          <w:lang w:val="es-CO"/>
        </w:rPr>
      </w:pPr>
    </w:p>
    <w:p w14:paraId="084E06FB" w14:textId="77777777" w:rsidR="00295BFE" w:rsidRPr="00910248" w:rsidRDefault="00A90D33" w:rsidP="00295BFE">
      <w:pPr>
        <w:ind w:left="0" w:firstLine="0"/>
        <w:rPr>
          <w:sz w:val="16"/>
          <w:szCs w:val="16"/>
          <w:lang w:val="es-CO"/>
        </w:rPr>
      </w:pPr>
      <w:r w:rsidRPr="00910248">
        <w:rPr>
          <w:sz w:val="16"/>
          <w:szCs w:val="16"/>
          <w:lang w:val="es-CO"/>
        </w:rPr>
        <w:t>2</w:t>
      </w:r>
      <w:r w:rsidR="00295BFE" w:rsidRPr="00910248">
        <w:rPr>
          <w:sz w:val="16"/>
          <w:szCs w:val="16"/>
          <w:lang w:val="es-CO"/>
        </w:rPr>
        <w:t>.1.</w:t>
      </w:r>
      <w:r w:rsidR="00075611" w:rsidRPr="00910248">
        <w:rPr>
          <w:sz w:val="16"/>
          <w:szCs w:val="16"/>
          <w:lang w:val="es-CO"/>
        </w:rPr>
        <w:t>1.</w:t>
      </w:r>
      <w:r w:rsidR="00295BFE" w:rsidRPr="00910248">
        <w:rPr>
          <w:sz w:val="16"/>
          <w:szCs w:val="16"/>
          <w:lang w:val="es-CO"/>
        </w:rPr>
        <w:t xml:space="preserve"> Patrimonios Autónomos (PA)</w:t>
      </w:r>
    </w:p>
    <w:p w14:paraId="346E718C" w14:textId="77777777" w:rsidR="00295BFE" w:rsidRDefault="00295BFE" w:rsidP="00673DD6">
      <w:pPr>
        <w:ind w:left="0" w:firstLine="0"/>
        <w:rPr>
          <w:sz w:val="16"/>
          <w:szCs w:val="16"/>
          <w:lang w:val="es-CO"/>
        </w:rPr>
      </w:pPr>
    </w:p>
    <w:p w14:paraId="0C06E1B4" w14:textId="28720484" w:rsidR="001437E4" w:rsidRDefault="004B3DD6" w:rsidP="00673DD6">
      <w:pPr>
        <w:ind w:left="0" w:firstLine="0"/>
        <w:rPr>
          <w:sz w:val="16"/>
          <w:szCs w:val="16"/>
          <w:lang w:val="es-CO"/>
        </w:rPr>
      </w:pPr>
      <w:r w:rsidRPr="007C3D6A">
        <w:rPr>
          <w:sz w:val="16"/>
          <w:szCs w:val="16"/>
          <w:lang w:val="es-CO"/>
        </w:rPr>
        <w:t>Los PA</w:t>
      </w:r>
      <w:r w:rsidR="00673DD6" w:rsidRPr="007C3D6A">
        <w:rPr>
          <w:sz w:val="16"/>
          <w:szCs w:val="16"/>
          <w:lang w:val="es-CO"/>
        </w:rPr>
        <w:t xml:space="preserve"> tienen la calidad de vinculados al conglomerado financiero cuando</w:t>
      </w:r>
      <w:r w:rsidR="001437E4">
        <w:rPr>
          <w:sz w:val="16"/>
          <w:szCs w:val="16"/>
          <w:lang w:val="es-CO"/>
        </w:rPr>
        <w:t xml:space="preserve"> </w:t>
      </w:r>
      <w:r w:rsidR="00D343E7">
        <w:rPr>
          <w:sz w:val="16"/>
          <w:szCs w:val="16"/>
          <w:lang w:val="es-CO"/>
        </w:rPr>
        <w:t xml:space="preserve">estos cumplan con la totalidad de los siguientes requisitos: (i) </w:t>
      </w:r>
      <w:r w:rsidR="00816CDC">
        <w:rPr>
          <w:sz w:val="16"/>
          <w:szCs w:val="16"/>
          <w:lang w:val="es-CO"/>
        </w:rPr>
        <w:t>e</w:t>
      </w:r>
      <w:r w:rsidR="00816CDC" w:rsidRPr="007C3D6A">
        <w:rPr>
          <w:sz w:val="16"/>
          <w:szCs w:val="16"/>
          <w:lang w:val="es-CO"/>
        </w:rPr>
        <w:t xml:space="preserve">l fideicomitente o uno de los fideicomitentes </w:t>
      </w:r>
      <w:r w:rsidR="00D2085D">
        <w:rPr>
          <w:sz w:val="16"/>
          <w:szCs w:val="16"/>
          <w:lang w:val="es-CO"/>
        </w:rPr>
        <w:t>es</w:t>
      </w:r>
      <w:r w:rsidR="00D2085D" w:rsidRPr="007C3D6A">
        <w:rPr>
          <w:sz w:val="16"/>
          <w:szCs w:val="16"/>
          <w:lang w:val="es-CO"/>
        </w:rPr>
        <w:t xml:space="preserve"> </w:t>
      </w:r>
      <w:r w:rsidR="00816CDC" w:rsidRPr="007C3D6A">
        <w:rPr>
          <w:sz w:val="16"/>
          <w:szCs w:val="16"/>
          <w:lang w:val="es-CO"/>
        </w:rPr>
        <w:t>una entidad que hace parte del conglomerado financiero</w:t>
      </w:r>
      <w:r w:rsidR="00816CDC">
        <w:rPr>
          <w:sz w:val="16"/>
          <w:szCs w:val="16"/>
          <w:lang w:val="es-CO"/>
        </w:rPr>
        <w:t xml:space="preserve"> </w:t>
      </w:r>
      <w:r w:rsidR="00D343E7">
        <w:rPr>
          <w:sz w:val="16"/>
          <w:szCs w:val="16"/>
          <w:lang w:val="es-CO"/>
        </w:rPr>
        <w:t xml:space="preserve">(ii) dicho fideicomitente </w:t>
      </w:r>
      <w:r w:rsidR="00816CDC">
        <w:rPr>
          <w:sz w:val="16"/>
          <w:szCs w:val="16"/>
          <w:lang w:val="es-CO"/>
        </w:rPr>
        <w:t xml:space="preserve"> cuenta con una participación del 10% o más del total de los derechos fiduciarios</w:t>
      </w:r>
      <w:r w:rsidR="00ED12A6">
        <w:rPr>
          <w:sz w:val="16"/>
          <w:szCs w:val="16"/>
          <w:lang w:val="es-CO"/>
        </w:rPr>
        <w:t xml:space="preserve"> </w:t>
      </w:r>
      <w:r w:rsidR="00ED12A6" w:rsidRPr="00D62163">
        <w:rPr>
          <w:sz w:val="16"/>
          <w:szCs w:val="16"/>
          <w:lang w:val="es-CO"/>
        </w:rPr>
        <w:t>(iii) cuando el PA tenga el 10% o más en la participación accionaria directa o indirecta en alguna de las entidades del conglomerado financiero</w:t>
      </w:r>
      <w:r w:rsidR="00816CDC" w:rsidRPr="007C3D6A">
        <w:rPr>
          <w:sz w:val="16"/>
          <w:szCs w:val="16"/>
          <w:lang w:val="es-CO"/>
        </w:rPr>
        <w:t xml:space="preserve"> </w:t>
      </w:r>
      <w:r w:rsidR="00816CDC">
        <w:rPr>
          <w:sz w:val="16"/>
          <w:szCs w:val="16"/>
          <w:lang w:val="es-CO"/>
        </w:rPr>
        <w:t>y</w:t>
      </w:r>
      <w:r w:rsidR="00D343E7">
        <w:rPr>
          <w:sz w:val="16"/>
          <w:szCs w:val="16"/>
          <w:lang w:val="es-CO"/>
        </w:rPr>
        <w:t xml:space="preserve"> (i</w:t>
      </w:r>
      <w:r w:rsidR="00ED12A6">
        <w:rPr>
          <w:sz w:val="16"/>
          <w:szCs w:val="16"/>
          <w:lang w:val="es-CO"/>
        </w:rPr>
        <w:t>v</w:t>
      </w:r>
      <w:r w:rsidR="00D343E7">
        <w:rPr>
          <w:sz w:val="16"/>
          <w:szCs w:val="16"/>
          <w:lang w:val="es-CO"/>
        </w:rPr>
        <w:t>)</w:t>
      </w:r>
      <w:r w:rsidR="00816CDC">
        <w:rPr>
          <w:sz w:val="16"/>
          <w:szCs w:val="16"/>
          <w:lang w:val="es-CO"/>
        </w:rPr>
        <w:t xml:space="preserve"> </w:t>
      </w:r>
      <w:r w:rsidR="001437E4" w:rsidRPr="007C3D6A">
        <w:rPr>
          <w:sz w:val="16"/>
          <w:szCs w:val="16"/>
          <w:lang w:val="es-CO"/>
        </w:rPr>
        <w:t>sus políticas de inversión son definidas por alguna de las entidades que conforma dicho conglomerado financiero</w:t>
      </w:r>
      <w:r w:rsidR="001437E4" w:rsidRPr="00F168A0">
        <w:rPr>
          <w:sz w:val="16"/>
          <w:szCs w:val="16"/>
          <w:lang w:val="es-CO"/>
        </w:rPr>
        <w:t>,</w:t>
      </w:r>
      <w:r w:rsidR="001437E4">
        <w:rPr>
          <w:sz w:val="16"/>
          <w:szCs w:val="16"/>
          <w:lang w:val="es-CO"/>
        </w:rPr>
        <w:t xml:space="preserve"> </w:t>
      </w:r>
      <w:r w:rsidR="001437E4" w:rsidRPr="007C3D6A">
        <w:rPr>
          <w:sz w:val="16"/>
          <w:szCs w:val="16"/>
          <w:lang w:val="es-CO"/>
        </w:rPr>
        <w:t>de acuerdo con el parágrafo 1 del art. 2.39.3.1.2 del Decreto 2555 de 2010, respecto de los bienes fideicomitidos o que conforman el PA. Esta previsión aplica tanto para los PA clasificados como un fideicomiso de inversión, como para cualquier otro PA en el que se tomen decisiones de inversión</w:t>
      </w:r>
      <w:r w:rsidR="00816CDC">
        <w:rPr>
          <w:sz w:val="16"/>
          <w:szCs w:val="16"/>
          <w:lang w:val="es-CO"/>
        </w:rPr>
        <w:t>.</w:t>
      </w:r>
    </w:p>
    <w:p w14:paraId="7F0D61B2" w14:textId="77777777" w:rsidR="006C6345" w:rsidRDefault="006C6345" w:rsidP="00673DD6">
      <w:pPr>
        <w:ind w:left="0" w:firstLine="0"/>
        <w:rPr>
          <w:sz w:val="16"/>
          <w:szCs w:val="16"/>
          <w:lang w:val="es-CO"/>
        </w:rPr>
      </w:pPr>
    </w:p>
    <w:p w14:paraId="3F69E96B" w14:textId="5282C60A" w:rsidR="00673DD6" w:rsidRDefault="00783FA7" w:rsidP="00673DD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Es</w:t>
      </w:r>
      <w:r w:rsidR="00A713DD">
        <w:rPr>
          <w:sz w:val="16"/>
          <w:szCs w:val="16"/>
          <w:lang w:val="es-CO"/>
        </w:rPr>
        <w:t xml:space="preserve"> responsabilidad de l</w:t>
      </w:r>
      <w:r w:rsidR="00673DD6">
        <w:rPr>
          <w:sz w:val="16"/>
          <w:szCs w:val="16"/>
          <w:lang w:val="es-CO"/>
        </w:rPr>
        <w:t xml:space="preserve">os holdings financieros y </w:t>
      </w:r>
      <w:r w:rsidR="00A713DD">
        <w:rPr>
          <w:sz w:val="16"/>
          <w:szCs w:val="16"/>
          <w:lang w:val="es-CO"/>
        </w:rPr>
        <w:t xml:space="preserve">de </w:t>
      </w:r>
      <w:r w:rsidR="00673DD6">
        <w:rPr>
          <w:sz w:val="16"/>
          <w:szCs w:val="16"/>
          <w:lang w:val="es-CO"/>
        </w:rPr>
        <w:t xml:space="preserve">las demás entidades </w:t>
      </w:r>
      <w:r w:rsidR="00A713DD">
        <w:rPr>
          <w:sz w:val="16"/>
          <w:szCs w:val="16"/>
          <w:lang w:val="es-CO"/>
        </w:rPr>
        <w:t xml:space="preserve">del conglomerado financiero evaluar </w:t>
      </w:r>
      <w:r w:rsidR="00673DD6">
        <w:rPr>
          <w:sz w:val="16"/>
          <w:szCs w:val="16"/>
          <w:lang w:val="es-CO"/>
        </w:rPr>
        <w:t xml:space="preserve">las condiciones </w:t>
      </w:r>
      <w:r w:rsidR="00A713DD">
        <w:rPr>
          <w:sz w:val="16"/>
          <w:szCs w:val="16"/>
          <w:lang w:val="es-CO"/>
        </w:rPr>
        <w:t xml:space="preserve">particulares </w:t>
      </w:r>
      <w:r w:rsidR="00F168A0">
        <w:rPr>
          <w:sz w:val="16"/>
          <w:szCs w:val="16"/>
          <w:lang w:val="es-CO"/>
        </w:rPr>
        <w:t xml:space="preserve">y el objeto </w:t>
      </w:r>
      <w:r w:rsidR="00A713DD">
        <w:rPr>
          <w:sz w:val="16"/>
          <w:szCs w:val="16"/>
          <w:lang w:val="es-CO"/>
        </w:rPr>
        <w:t xml:space="preserve">de </w:t>
      </w:r>
      <w:r w:rsidR="0031226D">
        <w:rPr>
          <w:sz w:val="16"/>
          <w:szCs w:val="16"/>
          <w:lang w:val="es-CO"/>
        </w:rPr>
        <w:t>los contratos</w:t>
      </w:r>
      <w:r w:rsidR="00A713DD">
        <w:rPr>
          <w:sz w:val="16"/>
          <w:szCs w:val="16"/>
          <w:lang w:val="es-CO"/>
        </w:rPr>
        <w:t xml:space="preserve">, a fin de identificar en cada caso si </w:t>
      </w:r>
      <w:r>
        <w:rPr>
          <w:sz w:val="16"/>
          <w:szCs w:val="16"/>
          <w:lang w:val="es-CO"/>
        </w:rPr>
        <w:t xml:space="preserve">en </w:t>
      </w:r>
      <w:r w:rsidR="00A713DD">
        <w:rPr>
          <w:sz w:val="16"/>
          <w:szCs w:val="16"/>
          <w:lang w:val="es-CO"/>
        </w:rPr>
        <w:t xml:space="preserve">el </w:t>
      </w:r>
      <w:r w:rsidR="0031226D">
        <w:rPr>
          <w:sz w:val="16"/>
          <w:szCs w:val="16"/>
          <w:lang w:val="es-CO"/>
        </w:rPr>
        <w:t>PA</w:t>
      </w:r>
      <w:r w:rsidR="00A713DD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 xml:space="preserve">las </w:t>
      </w:r>
      <w:r w:rsidR="007D5824">
        <w:rPr>
          <w:sz w:val="16"/>
          <w:szCs w:val="16"/>
          <w:lang w:val="es-CO"/>
        </w:rPr>
        <w:t xml:space="preserve">políticas de </w:t>
      </w:r>
      <w:r>
        <w:rPr>
          <w:sz w:val="16"/>
          <w:szCs w:val="16"/>
          <w:lang w:val="es-CO"/>
        </w:rPr>
        <w:t xml:space="preserve"> inversión son </w:t>
      </w:r>
      <w:r w:rsidR="007D5824">
        <w:rPr>
          <w:sz w:val="16"/>
          <w:szCs w:val="16"/>
          <w:lang w:val="es-CO"/>
        </w:rPr>
        <w:t xml:space="preserve">definidas </w:t>
      </w:r>
      <w:r>
        <w:rPr>
          <w:sz w:val="16"/>
          <w:szCs w:val="16"/>
          <w:lang w:val="es-CO"/>
        </w:rPr>
        <w:t>por alguna de la</w:t>
      </w:r>
      <w:r w:rsidR="00C92652">
        <w:rPr>
          <w:sz w:val="16"/>
          <w:szCs w:val="16"/>
          <w:lang w:val="es-CO"/>
        </w:rPr>
        <w:t xml:space="preserve">s entidades que conforman el conglomerado. </w:t>
      </w:r>
      <w:r w:rsidR="00241B48">
        <w:rPr>
          <w:sz w:val="16"/>
          <w:szCs w:val="16"/>
          <w:lang w:val="es-CO"/>
        </w:rPr>
        <w:t>Este análisis</w:t>
      </w:r>
      <w:r w:rsidR="00241B48" w:rsidRPr="00241B48">
        <w:rPr>
          <w:sz w:val="16"/>
          <w:szCs w:val="16"/>
          <w:lang w:val="es-CO"/>
        </w:rPr>
        <w:t xml:space="preserve"> debe </w:t>
      </w:r>
      <w:r w:rsidR="00711505">
        <w:rPr>
          <w:sz w:val="16"/>
          <w:szCs w:val="16"/>
          <w:lang w:val="es-CO"/>
        </w:rPr>
        <w:t xml:space="preserve">quedar documentado con el sustento </w:t>
      </w:r>
      <w:r w:rsidR="00241B48" w:rsidRPr="00241B48">
        <w:rPr>
          <w:sz w:val="16"/>
          <w:szCs w:val="16"/>
          <w:lang w:val="es-CO"/>
        </w:rPr>
        <w:t>técnic</w:t>
      </w:r>
      <w:r w:rsidR="00711505">
        <w:rPr>
          <w:sz w:val="16"/>
          <w:szCs w:val="16"/>
          <w:lang w:val="es-CO"/>
        </w:rPr>
        <w:t>o y jurídico respectivo, el cual debe mantenerse</w:t>
      </w:r>
      <w:r w:rsidR="00241B48" w:rsidRPr="00241B48">
        <w:rPr>
          <w:sz w:val="16"/>
          <w:szCs w:val="16"/>
          <w:lang w:val="es-CO"/>
        </w:rPr>
        <w:t xml:space="preserve"> a disposición de la S</w:t>
      </w:r>
      <w:r w:rsidR="00711505">
        <w:rPr>
          <w:sz w:val="16"/>
          <w:szCs w:val="16"/>
          <w:lang w:val="es-CO"/>
        </w:rPr>
        <w:t xml:space="preserve">FC. </w:t>
      </w:r>
    </w:p>
    <w:p w14:paraId="5D2C7C2B" w14:textId="77777777" w:rsidR="00B71D22" w:rsidRDefault="00B71D22" w:rsidP="00673DD6">
      <w:pPr>
        <w:ind w:left="0" w:firstLine="0"/>
        <w:rPr>
          <w:b/>
          <w:sz w:val="16"/>
          <w:szCs w:val="16"/>
          <w:lang w:val="es-CO"/>
        </w:rPr>
      </w:pPr>
    </w:p>
    <w:p w14:paraId="0EA476B5" w14:textId="77777777" w:rsidR="00673DD6" w:rsidRPr="00910248" w:rsidRDefault="00A90D33" w:rsidP="00673DD6">
      <w:pPr>
        <w:ind w:left="0" w:firstLine="0"/>
        <w:rPr>
          <w:sz w:val="16"/>
          <w:szCs w:val="16"/>
          <w:lang w:val="es-CO"/>
        </w:rPr>
      </w:pPr>
      <w:r w:rsidRPr="00910248">
        <w:rPr>
          <w:sz w:val="16"/>
          <w:szCs w:val="16"/>
          <w:lang w:val="es-CO"/>
        </w:rPr>
        <w:t>2</w:t>
      </w:r>
      <w:r w:rsidR="00673DD6" w:rsidRPr="00910248">
        <w:rPr>
          <w:sz w:val="16"/>
          <w:szCs w:val="16"/>
          <w:lang w:val="es-CO"/>
        </w:rPr>
        <w:t>.</w:t>
      </w:r>
      <w:r w:rsidR="00075611" w:rsidRPr="00910248">
        <w:rPr>
          <w:sz w:val="16"/>
          <w:szCs w:val="16"/>
          <w:lang w:val="es-CO"/>
        </w:rPr>
        <w:t>1.</w:t>
      </w:r>
      <w:r w:rsidR="00673DD6" w:rsidRPr="00910248">
        <w:rPr>
          <w:sz w:val="16"/>
          <w:szCs w:val="16"/>
          <w:lang w:val="es-CO"/>
        </w:rPr>
        <w:t xml:space="preserve">2. Fondos </w:t>
      </w:r>
      <w:r w:rsidR="003B107D" w:rsidRPr="00910248">
        <w:rPr>
          <w:sz w:val="16"/>
          <w:szCs w:val="16"/>
          <w:lang w:val="es-CO"/>
        </w:rPr>
        <w:t>de Capital P</w:t>
      </w:r>
      <w:r w:rsidR="00673DD6" w:rsidRPr="00910248">
        <w:rPr>
          <w:sz w:val="16"/>
          <w:szCs w:val="16"/>
          <w:lang w:val="es-CO"/>
        </w:rPr>
        <w:t>rivado (FCP)</w:t>
      </w:r>
    </w:p>
    <w:p w14:paraId="566AC59C" w14:textId="77777777" w:rsidR="00673DD6" w:rsidRPr="003B107D" w:rsidRDefault="00673DD6" w:rsidP="00673DD6">
      <w:pPr>
        <w:ind w:left="0" w:firstLine="0"/>
        <w:rPr>
          <w:sz w:val="16"/>
          <w:szCs w:val="16"/>
          <w:lang w:val="es-CO"/>
        </w:rPr>
      </w:pPr>
    </w:p>
    <w:p w14:paraId="592BD2ED" w14:textId="7FE31E66" w:rsidR="00591D16" w:rsidRPr="003B107D" w:rsidRDefault="00673DD6">
      <w:pPr>
        <w:ind w:left="0" w:firstLine="0"/>
        <w:rPr>
          <w:sz w:val="16"/>
          <w:szCs w:val="16"/>
          <w:lang w:val="es-CO"/>
        </w:rPr>
      </w:pPr>
      <w:r w:rsidRPr="003B107D">
        <w:rPr>
          <w:sz w:val="16"/>
          <w:szCs w:val="16"/>
          <w:lang w:val="es-CO"/>
        </w:rPr>
        <w:t xml:space="preserve">Los </w:t>
      </w:r>
      <w:r w:rsidR="00C71610" w:rsidRPr="003B107D">
        <w:rPr>
          <w:sz w:val="16"/>
          <w:szCs w:val="16"/>
          <w:lang w:val="es-CO"/>
        </w:rPr>
        <w:t>FCP</w:t>
      </w:r>
      <w:r w:rsidRPr="003B107D">
        <w:rPr>
          <w:sz w:val="16"/>
          <w:szCs w:val="16"/>
          <w:lang w:val="es-CO"/>
        </w:rPr>
        <w:t xml:space="preserve"> </w:t>
      </w:r>
      <w:r w:rsidR="00C71610" w:rsidRPr="003B107D">
        <w:rPr>
          <w:sz w:val="16"/>
          <w:szCs w:val="16"/>
          <w:lang w:val="es-CO"/>
        </w:rPr>
        <w:t xml:space="preserve">tienen la calidad de </w:t>
      </w:r>
      <w:r w:rsidRPr="003B107D">
        <w:rPr>
          <w:sz w:val="16"/>
          <w:szCs w:val="16"/>
          <w:lang w:val="es-CO"/>
        </w:rPr>
        <w:t xml:space="preserve">vinculados al conglomerado financiero </w:t>
      </w:r>
      <w:r w:rsidR="00D2085D">
        <w:rPr>
          <w:sz w:val="16"/>
          <w:szCs w:val="16"/>
          <w:lang w:val="es-CO"/>
        </w:rPr>
        <w:t>en los siguientes casos:</w:t>
      </w:r>
      <w:r w:rsidR="00D2085D" w:rsidRPr="003B107D">
        <w:rPr>
          <w:sz w:val="16"/>
          <w:szCs w:val="16"/>
          <w:lang w:val="es-CO"/>
        </w:rPr>
        <w:t xml:space="preserve"> </w:t>
      </w:r>
    </w:p>
    <w:p w14:paraId="0147C576" w14:textId="77777777" w:rsidR="00591D16" w:rsidRPr="00075611" w:rsidRDefault="00591D16" w:rsidP="00BE4846">
      <w:pPr>
        <w:ind w:left="0" w:firstLine="0"/>
        <w:rPr>
          <w:sz w:val="16"/>
          <w:szCs w:val="16"/>
          <w:lang w:val="es-CO"/>
        </w:rPr>
      </w:pPr>
    </w:p>
    <w:p w14:paraId="0EB7D89C" w14:textId="2253E1F9" w:rsidR="00D2085D" w:rsidRDefault="00D2085D" w:rsidP="00D2085D">
      <w:pPr>
        <w:ind w:left="0" w:firstLine="0"/>
        <w:rPr>
          <w:sz w:val="16"/>
          <w:szCs w:val="16"/>
          <w:lang w:val="es-CO"/>
        </w:rPr>
      </w:pPr>
      <w:r w:rsidRPr="00075611">
        <w:rPr>
          <w:sz w:val="16"/>
          <w:szCs w:val="16"/>
          <w:lang w:val="es-CO"/>
        </w:rPr>
        <w:t>2</w:t>
      </w:r>
      <w:r>
        <w:rPr>
          <w:sz w:val="16"/>
          <w:szCs w:val="16"/>
          <w:lang w:val="es-CO"/>
        </w:rPr>
        <w:t>.1.2</w:t>
      </w:r>
      <w:r w:rsidRPr="00075611">
        <w:rPr>
          <w:sz w:val="16"/>
          <w:szCs w:val="16"/>
          <w:lang w:val="es-CO"/>
        </w:rPr>
        <w:t>.</w:t>
      </w:r>
      <w:r>
        <w:rPr>
          <w:sz w:val="16"/>
          <w:szCs w:val="16"/>
          <w:lang w:val="es-CO"/>
        </w:rPr>
        <w:t>1.</w:t>
      </w:r>
      <w:r w:rsidRPr="00075611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Alguna de las entidades que conforman el conglomerado financiero e</w:t>
      </w:r>
      <w:r w:rsidRPr="00075611">
        <w:rPr>
          <w:sz w:val="16"/>
          <w:szCs w:val="16"/>
          <w:lang w:val="es-CO"/>
        </w:rPr>
        <w:t xml:space="preserve">s inversionista del FCP y cuenta con participaciones </w:t>
      </w:r>
      <w:r>
        <w:rPr>
          <w:sz w:val="16"/>
          <w:szCs w:val="16"/>
          <w:lang w:val="es-CO"/>
        </w:rPr>
        <w:t xml:space="preserve">directas e indirectas </w:t>
      </w:r>
      <w:r w:rsidRPr="00075611">
        <w:rPr>
          <w:sz w:val="16"/>
          <w:szCs w:val="16"/>
          <w:lang w:val="es-CO"/>
        </w:rPr>
        <w:t xml:space="preserve">que le otorgan derechos de voto para constituir </w:t>
      </w:r>
      <w:r>
        <w:rPr>
          <w:sz w:val="16"/>
          <w:szCs w:val="16"/>
          <w:lang w:val="es-CO"/>
        </w:rPr>
        <w:t xml:space="preserve">las </w:t>
      </w:r>
      <w:r w:rsidRPr="00075611">
        <w:rPr>
          <w:sz w:val="16"/>
          <w:szCs w:val="16"/>
          <w:lang w:val="es-CO"/>
        </w:rPr>
        <w:t>mayorías</w:t>
      </w:r>
      <w:r>
        <w:rPr>
          <w:sz w:val="16"/>
          <w:szCs w:val="16"/>
          <w:lang w:val="es-CO"/>
        </w:rPr>
        <w:t xml:space="preserve"> necesarias para modificar el reglamento.</w:t>
      </w:r>
    </w:p>
    <w:p w14:paraId="468E3618" w14:textId="77777777" w:rsidR="00D2085D" w:rsidRDefault="00D2085D" w:rsidP="00D2085D">
      <w:pPr>
        <w:ind w:left="0" w:firstLine="0"/>
        <w:rPr>
          <w:sz w:val="16"/>
          <w:szCs w:val="16"/>
          <w:lang w:val="es-CO"/>
        </w:rPr>
      </w:pPr>
    </w:p>
    <w:p w14:paraId="29C36801" w14:textId="2E904F37" w:rsidR="00D2085D" w:rsidRDefault="00D2085D" w:rsidP="00D2085D">
      <w:pPr>
        <w:ind w:left="0" w:firstLine="0"/>
        <w:rPr>
          <w:sz w:val="16"/>
          <w:szCs w:val="16"/>
          <w:lang w:val="es-CO"/>
        </w:rPr>
      </w:pPr>
      <w:r w:rsidRPr="00075611">
        <w:rPr>
          <w:sz w:val="16"/>
          <w:szCs w:val="16"/>
          <w:lang w:val="es-CO"/>
        </w:rPr>
        <w:t>2</w:t>
      </w:r>
      <w:r>
        <w:rPr>
          <w:sz w:val="16"/>
          <w:szCs w:val="16"/>
          <w:lang w:val="es-CO"/>
        </w:rPr>
        <w:t>.1.2.2</w:t>
      </w:r>
      <w:r w:rsidRPr="00075611">
        <w:rPr>
          <w:sz w:val="16"/>
          <w:szCs w:val="16"/>
          <w:lang w:val="es-CO"/>
        </w:rPr>
        <w:t xml:space="preserve">. </w:t>
      </w:r>
      <w:r w:rsidR="009432B0">
        <w:rPr>
          <w:sz w:val="16"/>
          <w:szCs w:val="16"/>
          <w:lang w:val="es-CO"/>
        </w:rPr>
        <w:t>Cuando e</w:t>
      </w:r>
      <w:r>
        <w:rPr>
          <w:sz w:val="16"/>
          <w:szCs w:val="16"/>
          <w:lang w:val="es-CO"/>
        </w:rPr>
        <w:t xml:space="preserve">l FCP dentro de su portafolio de inversión tenga el 10% o más en la participación accionaria directa </w:t>
      </w:r>
      <w:r w:rsidR="00A11ACA">
        <w:rPr>
          <w:sz w:val="16"/>
          <w:szCs w:val="16"/>
          <w:lang w:val="es-CO"/>
        </w:rPr>
        <w:t>o sea el beneficiario</w:t>
      </w:r>
      <w:r w:rsidR="00D9517B">
        <w:rPr>
          <w:sz w:val="16"/>
          <w:szCs w:val="16"/>
          <w:lang w:val="es-CO"/>
        </w:rPr>
        <w:t xml:space="preserve"> real</w:t>
      </w:r>
      <w:r w:rsidR="00A11ACA">
        <w:rPr>
          <w:sz w:val="16"/>
          <w:szCs w:val="16"/>
          <w:lang w:val="es-CO"/>
        </w:rPr>
        <w:t xml:space="preserve"> del 10% o más de</w:t>
      </w:r>
      <w:r>
        <w:rPr>
          <w:sz w:val="16"/>
          <w:szCs w:val="16"/>
          <w:lang w:val="es-CO"/>
        </w:rPr>
        <w:t xml:space="preserve"> alguna de las entidades del conglomerado financiero. </w:t>
      </w:r>
    </w:p>
    <w:p w14:paraId="0283CA42" w14:textId="77777777" w:rsidR="00D2085D" w:rsidRDefault="00D2085D" w:rsidP="00D2085D">
      <w:pPr>
        <w:ind w:left="0" w:firstLine="0"/>
        <w:rPr>
          <w:sz w:val="16"/>
          <w:szCs w:val="16"/>
          <w:lang w:val="es-CO"/>
        </w:rPr>
      </w:pPr>
    </w:p>
    <w:p w14:paraId="5C881B4E" w14:textId="39C510DF" w:rsidR="00D2085D" w:rsidRDefault="00D2085D" w:rsidP="000756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2.1.2.3. En los casos en los que cualquier entidad</w:t>
      </w:r>
      <w:r w:rsidR="00D62163">
        <w:rPr>
          <w:sz w:val="16"/>
          <w:szCs w:val="16"/>
          <w:lang w:val="es-CO"/>
        </w:rPr>
        <w:t xml:space="preserve"> o grupo de entidades</w:t>
      </w:r>
      <w:r>
        <w:rPr>
          <w:sz w:val="16"/>
          <w:szCs w:val="16"/>
          <w:lang w:val="es-CO"/>
        </w:rPr>
        <w:t xml:space="preserve"> que haga</w:t>
      </w:r>
      <w:r w:rsidR="00D62163">
        <w:rPr>
          <w:sz w:val="16"/>
          <w:szCs w:val="16"/>
          <w:lang w:val="es-CO"/>
        </w:rPr>
        <w:t>n</w:t>
      </w:r>
      <w:r>
        <w:rPr>
          <w:sz w:val="16"/>
          <w:szCs w:val="16"/>
          <w:lang w:val="es-CO"/>
        </w:rPr>
        <w:t xml:space="preserve"> parte del conglomerado financiero cuente</w:t>
      </w:r>
      <w:r w:rsidR="00D62163">
        <w:rPr>
          <w:sz w:val="16"/>
          <w:szCs w:val="16"/>
          <w:lang w:val="es-CO"/>
        </w:rPr>
        <w:t>n</w:t>
      </w:r>
      <w:r>
        <w:rPr>
          <w:sz w:val="16"/>
          <w:szCs w:val="16"/>
          <w:lang w:val="es-CO"/>
        </w:rPr>
        <w:t xml:space="preserve"> con el 10% o más de la participación total en el FCP o en el respectivo compartimiento, estos tendrán la calidad de vinculados cuando:  </w:t>
      </w:r>
    </w:p>
    <w:p w14:paraId="5E8B0D6D" w14:textId="77777777" w:rsidR="00D2085D" w:rsidRDefault="00D2085D" w:rsidP="00075611">
      <w:pPr>
        <w:ind w:left="0" w:firstLine="0"/>
        <w:rPr>
          <w:sz w:val="16"/>
          <w:szCs w:val="16"/>
          <w:lang w:val="es-CO"/>
        </w:rPr>
      </w:pPr>
    </w:p>
    <w:p w14:paraId="396F00E8" w14:textId="3C2F426D" w:rsidR="00BE68E9" w:rsidRDefault="00075611" w:rsidP="000756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2.1.2</w:t>
      </w:r>
      <w:r w:rsidRPr="00075611">
        <w:rPr>
          <w:sz w:val="16"/>
          <w:szCs w:val="16"/>
          <w:lang w:val="es-CO"/>
        </w:rPr>
        <w:t>.</w:t>
      </w:r>
      <w:r w:rsidR="00D2085D">
        <w:rPr>
          <w:sz w:val="16"/>
          <w:szCs w:val="16"/>
          <w:lang w:val="es-CO"/>
        </w:rPr>
        <w:t>3</w:t>
      </w:r>
      <w:r>
        <w:rPr>
          <w:sz w:val="16"/>
          <w:szCs w:val="16"/>
          <w:lang w:val="es-CO"/>
        </w:rPr>
        <w:t>.</w:t>
      </w:r>
      <w:r w:rsidR="00D2085D">
        <w:rPr>
          <w:sz w:val="16"/>
          <w:szCs w:val="16"/>
          <w:lang w:val="es-CO"/>
        </w:rPr>
        <w:t>1</w:t>
      </w:r>
      <w:r w:rsidRPr="00075611">
        <w:rPr>
          <w:sz w:val="16"/>
          <w:szCs w:val="16"/>
          <w:lang w:val="es-CO"/>
        </w:rPr>
        <w:t xml:space="preserve"> </w:t>
      </w:r>
      <w:r w:rsidR="00D2085D">
        <w:rPr>
          <w:sz w:val="16"/>
          <w:szCs w:val="16"/>
          <w:lang w:val="es-CO"/>
        </w:rPr>
        <w:t>L</w:t>
      </w:r>
      <w:r>
        <w:rPr>
          <w:sz w:val="16"/>
          <w:szCs w:val="16"/>
          <w:lang w:val="es-CO"/>
        </w:rPr>
        <w:t xml:space="preserve">a </w:t>
      </w:r>
      <w:r w:rsidR="00D2085D">
        <w:rPr>
          <w:sz w:val="16"/>
          <w:szCs w:val="16"/>
          <w:lang w:val="es-CO"/>
        </w:rPr>
        <w:t>entidad</w:t>
      </w:r>
      <w:r w:rsidR="00B50A9F">
        <w:rPr>
          <w:sz w:val="16"/>
          <w:szCs w:val="16"/>
          <w:lang w:val="es-CO"/>
        </w:rPr>
        <w:t xml:space="preserve"> que </w:t>
      </w:r>
      <w:r w:rsidR="008E136E">
        <w:rPr>
          <w:sz w:val="16"/>
          <w:szCs w:val="16"/>
          <w:lang w:val="es-CO"/>
        </w:rPr>
        <w:t>actúa como gestor del FCP</w:t>
      </w:r>
      <w:r w:rsidRPr="00075611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 xml:space="preserve">y/o el </w:t>
      </w:r>
      <w:r w:rsidRPr="00075611">
        <w:rPr>
          <w:sz w:val="16"/>
          <w:szCs w:val="16"/>
          <w:lang w:val="es-CO"/>
        </w:rPr>
        <w:t xml:space="preserve">gestor </w:t>
      </w:r>
      <w:r w:rsidR="00D2085D">
        <w:rPr>
          <w:sz w:val="16"/>
          <w:szCs w:val="16"/>
          <w:lang w:val="es-CO"/>
        </w:rPr>
        <w:t>profesional</w:t>
      </w:r>
      <w:r w:rsidR="00D2085D" w:rsidRPr="008E136E">
        <w:rPr>
          <w:sz w:val="16"/>
          <w:szCs w:val="16"/>
          <w:lang w:val="es-CO"/>
        </w:rPr>
        <w:t xml:space="preserve"> </w:t>
      </w:r>
      <w:r w:rsidRPr="008E136E">
        <w:rPr>
          <w:sz w:val="16"/>
          <w:szCs w:val="16"/>
          <w:lang w:val="es-CO"/>
        </w:rPr>
        <w:t>del FCP</w:t>
      </w:r>
      <w:r w:rsidR="00D2085D">
        <w:rPr>
          <w:sz w:val="16"/>
          <w:szCs w:val="16"/>
          <w:lang w:val="es-CO"/>
        </w:rPr>
        <w:t xml:space="preserve"> o del respectivo compartimiento haga parte del conglomerado financiero.</w:t>
      </w:r>
    </w:p>
    <w:p w14:paraId="7282913B" w14:textId="77777777" w:rsidR="00BE68E9" w:rsidRDefault="00BE68E9" w:rsidP="00075611">
      <w:pPr>
        <w:ind w:left="0" w:firstLine="0"/>
        <w:rPr>
          <w:sz w:val="16"/>
          <w:szCs w:val="16"/>
          <w:lang w:val="es-CO"/>
        </w:rPr>
      </w:pPr>
    </w:p>
    <w:p w14:paraId="79312F74" w14:textId="33676D94" w:rsidR="00E32D3C" w:rsidRDefault="00E32D3C" w:rsidP="00BE484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2.1.2.</w:t>
      </w:r>
      <w:r w:rsidR="00D2085D">
        <w:rPr>
          <w:sz w:val="16"/>
          <w:szCs w:val="16"/>
          <w:lang w:val="es-CO"/>
        </w:rPr>
        <w:t>3</w:t>
      </w:r>
      <w:r>
        <w:rPr>
          <w:sz w:val="16"/>
          <w:szCs w:val="16"/>
          <w:lang w:val="es-CO"/>
        </w:rPr>
        <w:t>.</w:t>
      </w:r>
      <w:r w:rsidR="00D2085D">
        <w:rPr>
          <w:sz w:val="16"/>
          <w:szCs w:val="16"/>
          <w:lang w:val="es-CO"/>
        </w:rPr>
        <w:t>2.</w:t>
      </w:r>
      <w:r>
        <w:rPr>
          <w:sz w:val="16"/>
          <w:szCs w:val="16"/>
          <w:lang w:val="es-CO"/>
        </w:rPr>
        <w:t xml:space="preserve"> </w:t>
      </w:r>
      <w:r w:rsidR="00D2085D">
        <w:rPr>
          <w:sz w:val="16"/>
          <w:szCs w:val="16"/>
          <w:lang w:val="es-CO"/>
        </w:rPr>
        <w:t>Alguna de las entidades que conforman el conglomerado t</w:t>
      </w:r>
      <w:r>
        <w:rPr>
          <w:sz w:val="16"/>
          <w:szCs w:val="16"/>
          <w:lang w:val="es-CO"/>
        </w:rPr>
        <w:t>oma las decisiones de inversión o desinversión del FCP</w:t>
      </w:r>
      <w:r w:rsidR="00D2085D">
        <w:rPr>
          <w:sz w:val="16"/>
          <w:szCs w:val="16"/>
          <w:lang w:val="es-CO"/>
        </w:rPr>
        <w:t xml:space="preserve">. </w:t>
      </w:r>
      <w:r w:rsidRPr="0031226D">
        <w:rPr>
          <w:sz w:val="16"/>
          <w:szCs w:val="16"/>
          <w:lang w:val="es-CO"/>
        </w:rPr>
        <w:t>E</w:t>
      </w:r>
      <w:r>
        <w:rPr>
          <w:sz w:val="16"/>
          <w:szCs w:val="16"/>
          <w:lang w:val="es-CO"/>
        </w:rPr>
        <w:t>n estos casos e</w:t>
      </w:r>
      <w:r w:rsidRPr="0031226D">
        <w:rPr>
          <w:sz w:val="16"/>
          <w:szCs w:val="16"/>
          <w:lang w:val="es-CO"/>
        </w:rPr>
        <w:t>s responsabilidad de los holdings financieros y de las demás entidades del conglomerado financiero evaluar las condicion</w:t>
      </w:r>
      <w:r>
        <w:rPr>
          <w:sz w:val="16"/>
          <w:szCs w:val="16"/>
          <w:lang w:val="es-CO"/>
        </w:rPr>
        <w:t xml:space="preserve">es particulares </w:t>
      </w:r>
      <w:r w:rsidR="00D2085D">
        <w:rPr>
          <w:sz w:val="16"/>
          <w:szCs w:val="16"/>
          <w:lang w:val="es-CO"/>
        </w:rPr>
        <w:t>de los reglamentos</w:t>
      </w:r>
      <w:r w:rsidRPr="0031226D">
        <w:rPr>
          <w:sz w:val="16"/>
          <w:szCs w:val="16"/>
          <w:lang w:val="es-CO"/>
        </w:rPr>
        <w:t xml:space="preserve">, a fin de identificar en cada caso si en el respectivo </w:t>
      </w:r>
      <w:r>
        <w:rPr>
          <w:sz w:val="16"/>
          <w:szCs w:val="16"/>
          <w:lang w:val="es-CO"/>
        </w:rPr>
        <w:t>FCP</w:t>
      </w:r>
      <w:r w:rsidRPr="0031226D">
        <w:rPr>
          <w:sz w:val="16"/>
          <w:szCs w:val="16"/>
          <w:lang w:val="es-CO"/>
        </w:rPr>
        <w:t xml:space="preserve"> las decisiones de inversión son tomadas por alguna de las entidades que conforman el co</w:t>
      </w:r>
      <w:r>
        <w:rPr>
          <w:sz w:val="16"/>
          <w:szCs w:val="16"/>
          <w:lang w:val="es-CO"/>
        </w:rPr>
        <w:t>nglomerado. Este análisis debe</w:t>
      </w:r>
      <w:r w:rsidRPr="0031226D">
        <w:rPr>
          <w:sz w:val="16"/>
          <w:szCs w:val="16"/>
          <w:lang w:val="es-CO"/>
        </w:rPr>
        <w:t xml:space="preserve"> quedar documentado con el sustento técnico y jurídico respectivo, el cual debe mantenerse a disposición de la SFC.</w:t>
      </w:r>
    </w:p>
    <w:p w14:paraId="5A6CF207" w14:textId="77777777" w:rsidR="00E32D3C" w:rsidRDefault="00E32D3C" w:rsidP="00BE4846">
      <w:pPr>
        <w:ind w:left="0" w:firstLine="0"/>
        <w:rPr>
          <w:sz w:val="16"/>
          <w:szCs w:val="16"/>
          <w:lang w:val="es-CO"/>
        </w:rPr>
      </w:pPr>
    </w:p>
    <w:p w14:paraId="208DDDDF" w14:textId="77777777" w:rsidR="00075611" w:rsidRPr="00075611" w:rsidRDefault="00075611" w:rsidP="00075611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2.2</w:t>
      </w:r>
      <w:r w:rsidRPr="00075611">
        <w:rPr>
          <w:b/>
          <w:sz w:val="16"/>
          <w:szCs w:val="16"/>
          <w:lang w:val="es-CO"/>
        </w:rPr>
        <w:t xml:space="preserve">. </w:t>
      </w:r>
      <w:r>
        <w:rPr>
          <w:b/>
          <w:sz w:val="16"/>
          <w:szCs w:val="16"/>
          <w:lang w:val="es-CO"/>
        </w:rPr>
        <w:t xml:space="preserve">Información de los vinculados del conglomerado financiero </w:t>
      </w:r>
    </w:p>
    <w:p w14:paraId="7D8579FE" w14:textId="77777777" w:rsidR="0003416D" w:rsidRDefault="0003416D" w:rsidP="00075611">
      <w:pPr>
        <w:ind w:left="0" w:firstLine="0"/>
        <w:rPr>
          <w:sz w:val="16"/>
          <w:szCs w:val="16"/>
          <w:lang w:val="es-CO"/>
        </w:rPr>
      </w:pPr>
    </w:p>
    <w:p w14:paraId="04A5F824" w14:textId="77777777" w:rsidR="006D24DF" w:rsidRDefault="0003416D" w:rsidP="000756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A efectos </w:t>
      </w:r>
      <w:r w:rsidR="00075611">
        <w:rPr>
          <w:sz w:val="16"/>
          <w:szCs w:val="16"/>
          <w:lang w:val="es-CO"/>
        </w:rPr>
        <w:t>de identificar</w:t>
      </w:r>
      <w:r w:rsidR="00B94C2C">
        <w:rPr>
          <w:sz w:val="16"/>
          <w:szCs w:val="16"/>
          <w:lang w:val="es-CO"/>
        </w:rPr>
        <w:t xml:space="preserve"> </w:t>
      </w:r>
      <w:r w:rsidR="00075611">
        <w:rPr>
          <w:sz w:val="16"/>
          <w:szCs w:val="16"/>
          <w:lang w:val="es-CO"/>
        </w:rPr>
        <w:t xml:space="preserve">y mantener a disposición de la SFC la </w:t>
      </w:r>
      <w:r w:rsidR="00075611" w:rsidRPr="00277D7A">
        <w:rPr>
          <w:sz w:val="16"/>
          <w:szCs w:val="16"/>
          <w:lang w:val="es-CO"/>
        </w:rPr>
        <w:t>informaci</w:t>
      </w:r>
      <w:r w:rsidRPr="00277D7A">
        <w:rPr>
          <w:sz w:val="16"/>
          <w:szCs w:val="16"/>
          <w:lang w:val="es-CO"/>
        </w:rPr>
        <w:t>ón acerca de lo</w:t>
      </w:r>
      <w:r w:rsidR="00075611" w:rsidRPr="00277D7A">
        <w:rPr>
          <w:sz w:val="16"/>
          <w:szCs w:val="16"/>
          <w:lang w:val="es-CO"/>
        </w:rPr>
        <w:t>s vinculados</w:t>
      </w:r>
      <w:r w:rsidRPr="00277D7A">
        <w:rPr>
          <w:sz w:val="16"/>
          <w:szCs w:val="16"/>
          <w:lang w:val="es-CO"/>
        </w:rPr>
        <w:t xml:space="preserve"> </w:t>
      </w:r>
      <w:r w:rsidR="00982DFD" w:rsidRPr="00277D7A">
        <w:rPr>
          <w:sz w:val="16"/>
          <w:szCs w:val="16"/>
          <w:lang w:val="es-CO"/>
        </w:rPr>
        <w:t>de</w:t>
      </w:r>
      <w:r w:rsidRPr="00277D7A">
        <w:rPr>
          <w:sz w:val="16"/>
          <w:szCs w:val="16"/>
          <w:lang w:val="es-CO"/>
        </w:rPr>
        <w:t xml:space="preserve">l conglomerado financiero, el holding financiero debe elaborar el listado </w:t>
      </w:r>
      <w:r w:rsidR="0079718B" w:rsidRPr="00277D7A">
        <w:rPr>
          <w:sz w:val="16"/>
          <w:szCs w:val="16"/>
          <w:lang w:val="es-CO"/>
        </w:rPr>
        <w:t xml:space="preserve">de </w:t>
      </w:r>
      <w:r w:rsidR="00BF2840" w:rsidRPr="00277D7A">
        <w:rPr>
          <w:sz w:val="16"/>
          <w:szCs w:val="16"/>
          <w:lang w:val="es-CO"/>
        </w:rPr>
        <w:t>los mismos</w:t>
      </w:r>
      <w:r w:rsidR="0079718B" w:rsidRPr="00277D7A">
        <w:rPr>
          <w:sz w:val="16"/>
          <w:szCs w:val="16"/>
          <w:lang w:val="es-CO"/>
        </w:rPr>
        <w:t xml:space="preserve">, incluyendo todos los elementos </w:t>
      </w:r>
      <w:r w:rsidR="00DA2680" w:rsidRPr="00277D7A">
        <w:rPr>
          <w:sz w:val="16"/>
          <w:szCs w:val="16"/>
          <w:lang w:val="es-CO"/>
        </w:rPr>
        <w:t>de información</w:t>
      </w:r>
      <w:r w:rsidRPr="00277D7A">
        <w:rPr>
          <w:sz w:val="16"/>
          <w:szCs w:val="16"/>
          <w:lang w:val="es-CO"/>
        </w:rPr>
        <w:t xml:space="preserve"> a que se refiere el “Listado de Vinculados</w:t>
      </w:r>
      <w:r w:rsidR="00BF2840" w:rsidRPr="00277D7A">
        <w:rPr>
          <w:sz w:val="16"/>
          <w:szCs w:val="16"/>
          <w:lang w:val="es-CO"/>
        </w:rPr>
        <w:t xml:space="preserve"> del Conglomerado Financiero</w:t>
      </w:r>
      <w:r w:rsidRPr="00277D7A">
        <w:rPr>
          <w:sz w:val="16"/>
          <w:szCs w:val="16"/>
          <w:lang w:val="es-CO"/>
        </w:rPr>
        <w:t xml:space="preserve">” </w:t>
      </w:r>
      <w:r w:rsidR="006D24DF" w:rsidRPr="00277D7A">
        <w:rPr>
          <w:sz w:val="16"/>
          <w:szCs w:val="16"/>
          <w:lang w:val="es-CO"/>
        </w:rPr>
        <w:t>determinados en el documento técnico del Web Service que publique la SFC en su página Web para el efecto.</w:t>
      </w:r>
      <w:r w:rsidR="006D24DF">
        <w:rPr>
          <w:sz w:val="16"/>
          <w:szCs w:val="16"/>
          <w:lang w:val="es-CO"/>
        </w:rPr>
        <w:t xml:space="preserve"> </w:t>
      </w:r>
    </w:p>
    <w:p w14:paraId="6E2D4216" w14:textId="77777777" w:rsidR="00B94C2C" w:rsidRDefault="00B94C2C" w:rsidP="00075611">
      <w:pPr>
        <w:ind w:left="0" w:firstLine="0"/>
        <w:rPr>
          <w:sz w:val="16"/>
          <w:szCs w:val="16"/>
          <w:lang w:val="es-CO"/>
        </w:rPr>
      </w:pPr>
    </w:p>
    <w:p w14:paraId="594D2AFF" w14:textId="77777777" w:rsidR="005B665B" w:rsidRDefault="00B94C2C" w:rsidP="00BE4846">
      <w:pPr>
        <w:ind w:left="0" w:firstLine="0"/>
        <w:rPr>
          <w:sz w:val="16"/>
          <w:szCs w:val="16"/>
          <w:lang w:val="es-CO"/>
        </w:rPr>
      </w:pPr>
      <w:r w:rsidRPr="008A403C">
        <w:rPr>
          <w:sz w:val="16"/>
          <w:szCs w:val="16"/>
          <w:lang w:val="es-CO"/>
        </w:rPr>
        <w:t xml:space="preserve">Adicionalmente, el holding financiero debe contar con las políticas, procedimientos y </w:t>
      </w:r>
      <w:r w:rsidR="009766A6" w:rsidRPr="008A403C">
        <w:rPr>
          <w:sz w:val="16"/>
          <w:szCs w:val="16"/>
          <w:lang w:val="es-CO"/>
        </w:rPr>
        <w:t>mecanismos</w:t>
      </w:r>
      <w:r w:rsidRPr="008A403C">
        <w:rPr>
          <w:sz w:val="16"/>
          <w:szCs w:val="16"/>
          <w:lang w:val="es-CO"/>
        </w:rPr>
        <w:t xml:space="preserve"> necesarios para</w:t>
      </w:r>
      <w:r w:rsidR="00BF2840" w:rsidRPr="008A403C">
        <w:rPr>
          <w:sz w:val="16"/>
          <w:szCs w:val="16"/>
          <w:lang w:val="es-CO"/>
        </w:rPr>
        <w:t xml:space="preserve"> revisar y</w:t>
      </w:r>
      <w:r w:rsidRPr="008A403C">
        <w:rPr>
          <w:sz w:val="16"/>
          <w:szCs w:val="16"/>
          <w:lang w:val="es-CO"/>
        </w:rPr>
        <w:t xml:space="preserve"> mantener actualizada dicha </w:t>
      </w:r>
      <w:r w:rsidRPr="006C6345">
        <w:rPr>
          <w:sz w:val="16"/>
          <w:szCs w:val="16"/>
          <w:lang w:val="es-CO"/>
        </w:rPr>
        <w:t>información</w:t>
      </w:r>
      <w:r w:rsidR="009766A6" w:rsidRPr="006C6345">
        <w:rPr>
          <w:sz w:val="16"/>
          <w:szCs w:val="16"/>
          <w:lang w:val="es-CO"/>
        </w:rPr>
        <w:t>.</w:t>
      </w:r>
    </w:p>
    <w:p w14:paraId="00774CC9" w14:textId="77777777" w:rsidR="00591D16" w:rsidRDefault="009766A6" w:rsidP="00BE484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 </w:t>
      </w:r>
    </w:p>
    <w:p w14:paraId="7BC96DD1" w14:textId="77777777" w:rsidR="00B71D22" w:rsidRDefault="00B71D22" w:rsidP="00BE4846">
      <w:pPr>
        <w:ind w:left="0" w:firstLine="0"/>
        <w:rPr>
          <w:sz w:val="16"/>
          <w:szCs w:val="16"/>
          <w:lang w:val="es-CO"/>
        </w:rPr>
      </w:pPr>
    </w:p>
    <w:p w14:paraId="7986F0F8" w14:textId="77777777" w:rsidR="00BE4846" w:rsidRDefault="002D57A4" w:rsidP="00BE4846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3</w:t>
      </w:r>
      <w:r w:rsidR="00B1777D">
        <w:rPr>
          <w:b/>
          <w:sz w:val="16"/>
          <w:szCs w:val="16"/>
          <w:lang w:val="es-CO"/>
        </w:rPr>
        <w:t xml:space="preserve">. </w:t>
      </w:r>
      <w:r w:rsidR="00B1777D" w:rsidRPr="00B1777D">
        <w:rPr>
          <w:b/>
          <w:sz w:val="16"/>
          <w:szCs w:val="16"/>
          <w:lang w:val="es-CO"/>
        </w:rPr>
        <w:t>OPERACIONES QUE SE COMPUTAN PARA EL CONTROL DE LOS LÍMITES DE LAS EXPOSICIONES AGREGADAS CON VINCULADOS Y ENTRE ENTIDADES DEL CONGLOMERADO</w:t>
      </w:r>
      <w:r w:rsidR="00673DD6">
        <w:rPr>
          <w:b/>
          <w:sz w:val="16"/>
          <w:szCs w:val="16"/>
          <w:lang w:val="es-CO"/>
        </w:rPr>
        <w:t xml:space="preserve"> FINANCIERO</w:t>
      </w:r>
    </w:p>
    <w:p w14:paraId="48D76430" w14:textId="77777777" w:rsidR="00B1777D" w:rsidRPr="00925FBD" w:rsidRDefault="00B1777D" w:rsidP="00BE4846">
      <w:pPr>
        <w:ind w:left="0" w:firstLine="0"/>
        <w:rPr>
          <w:sz w:val="16"/>
          <w:szCs w:val="16"/>
          <w:lang w:val="es-CO"/>
        </w:rPr>
      </w:pPr>
    </w:p>
    <w:p w14:paraId="0A2B564A" w14:textId="77777777" w:rsidR="0041054E" w:rsidRDefault="004B6321" w:rsidP="00BE484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lastRenderedPageBreak/>
        <w:t>Los</w:t>
      </w:r>
      <w:r w:rsidR="00B1777D" w:rsidRPr="00B1777D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holdings financieros debe</w:t>
      </w:r>
      <w:r w:rsidR="00B1777D" w:rsidRPr="00B1777D">
        <w:rPr>
          <w:sz w:val="16"/>
          <w:szCs w:val="16"/>
          <w:lang w:val="es-CO"/>
        </w:rPr>
        <w:t xml:space="preserve">n </w:t>
      </w:r>
      <w:r w:rsidR="008B308E">
        <w:rPr>
          <w:sz w:val="16"/>
          <w:szCs w:val="16"/>
          <w:lang w:val="es-CO"/>
        </w:rPr>
        <w:t>man</w:t>
      </w:r>
      <w:r w:rsidR="00B1777D" w:rsidRPr="00B1777D">
        <w:rPr>
          <w:sz w:val="16"/>
          <w:szCs w:val="16"/>
          <w:lang w:val="es-CO"/>
        </w:rPr>
        <w:t xml:space="preserve">tener a disposición </w:t>
      </w:r>
      <w:r>
        <w:rPr>
          <w:sz w:val="16"/>
          <w:szCs w:val="16"/>
          <w:lang w:val="es-CO"/>
        </w:rPr>
        <w:t xml:space="preserve">de la SFC la información </w:t>
      </w:r>
      <w:r w:rsidR="00B1777D" w:rsidRPr="00B1777D">
        <w:rPr>
          <w:sz w:val="16"/>
          <w:szCs w:val="16"/>
          <w:lang w:val="es-CO"/>
        </w:rPr>
        <w:t xml:space="preserve">respecto de las </w:t>
      </w:r>
      <w:r w:rsidR="0015405C">
        <w:rPr>
          <w:sz w:val="16"/>
          <w:szCs w:val="16"/>
          <w:lang w:val="es-CO"/>
        </w:rPr>
        <w:t xml:space="preserve">exposiciones vigentes entre las entidades que conforman el conglomerado financiero, así como de las </w:t>
      </w:r>
      <w:r w:rsidR="00B1777D" w:rsidRPr="00B1777D">
        <w:rPr>
          <w:sz w:val="16"/>
          <w:szCs w:val="16"/>
          <w:lang w:val="es-CO"/>
        </w:rPr>
        <w:t>operaciones</w:t>
      </w:r>
      <w:r w:rsidR="0015405C">
        <w:rPr>
          <w:sz w:val="16"/>
          <w:szCs w:val="16"/>
          <w:lang w:val="es-CO"/>
        </w:rPr>
        <w:t xml:space="preserve"> que realizan </w:t>
      </w:r>
      <w:r w:rsidR="00D9660B">
        <w:rPr>
          <w:sz w:val="16"/>
          <w:szCs w:val="16"/>
          <w:lang w:val="es-CO"/>
        </w:rPr>
        <w:t>dichas</w:t>
      </w:r>
      <w:r w:rsidR="009D4CFB">
        <w:rPr>
          <w:sz w:val="16"/>
          <w:szCs w:val="16"/>
          <w:lang w:val="es-CO"/>
        </w:rPr>
        <w:t xml:space="preserve"> entidades </w:t>
      </w:r>
      <w:r w:rsidR="0015405C">
        <w:rPr>
          <w:sz w:val="16"/>
          <w:szCs w:val="16"/>
          <w:lang w:val="es-CO"/>
        </w:rPr>
        <w:t>con sus vinculados</w:t>
      </w:r>
      <w:r w:rsidR="004E007B">
        <w:rPr>
          <w:sz w:val="16"/>
          <w:szCs w:val="16"/>
          <w:lang w:val="es-CO"/>
        </w:rPr>
        <w:t xml:space="preserve">. </w:t>
      </w:r>
      <w:r w:rsidR="006033C3">
        <w:rPr>
          <w:sz w:val="16"/>
          <w:szCs w:val="16"/>
          <w:lang w:val="es-CO"/>
        </w:rPr>
        <w:t>Así mismo</w:t>
      </w:r>
      <w:r w:rsidR="004E007B">
        <w:rPr>
          <w:sz w:val="16"/>
          <w:szCs w:val="16"/>
          <w:lang w:val="es-CO"/>
        </w:rPr>
        <w:t xml:space="preserve"> deben</w:t>
      </w:r>
      <w:r w:rsidR="00C6028B">
        <w:rPr>
          <w:sz w:val="16"/>
          <w:szCs w:val="16"/>
          <w:lang w:val="es-CO"/>
        </w:rPr>
        <w:t xml:space="preserve"> </w:t>
      </w:r>
      <w:r w:rsidR="005E02E9">
        <w:rPr>
          <w:sz w:val="16"/>
          <w:szCs w:val="16"/>
          <w:lang w:val="es-CO"/>
        </w:rPr>
        <w:t xml:space="preserve">calcular </w:t>
      </w:r>
      <w:r w:rsidR="005E02E9" w:rsidRPr="00B1777D">
        <w:rPr>
          <w:sz w:val="16"/>
          <w:szCs w:val="16"/>
          <w:lang w:val="es-CO"/>
        </w:rPr>
        <w:t>y</w:t>
      </w:r>
      <w:r w:rsidR="0015405C">
        <w:rPr>
          <w:sz w:val="16"/>
          <w:szCs w:val="16"/>
          <w:lang w:val="es-CO"/>
        </w:rPr>
        <w:t xml:space="preserve"> </w:t>
      </w:r>
      <w:r w:rsidR="00B1777D" w:rsidRPr="00B1777D">
        <w:rPr>
          <w:sz w:val="16"/>
          <w:szCs w:val="16"/>
          <w:lang w:val="es-CO"/>
        </w:rPr>
        <w:t>control</w:t>
      </w:r>
      <w:r w:rsidR="0015405C">
        <w:rPr>
          <w:sz w:val="16"/>
          <w:szCs w:val="16"/>
          <w:lang w:val="es-CO"/>
        </w:rPr>
        <w:t>ar</w:t>
      </w:r>
      <w:r w:rsidR="00B1777D" w:rsidRPr="00B1777D">
        <w:rPr>
          <w:sz w:val="16"/>
          <w:szCs w:val="16"/>
          <w:lang w:val="es-CO"/>
        </w:rPr>
        <w:t xml:space="preserve"> los límites de las exposiciones agregadas</w:t>
      </w:r>
      <w:r w:rsidR="0015405C">
        <w:rPr>
          <w:sz w:val="16"/>
          <w:szCs w:val="16"/>
          <w:lang w:val="es-CO"/>
        </w:rPr>
        <w:t xml:space="preserve"> en virtud de lo establecido en el art. 2.39.3.2.4</w:t>
      </w:r>
      <w:r w:rsidR="00725896">
        <w:rPr>
          <w:sz w:val="16"/>
          <w:szCs w:val="16"/>
          <w:lang w:val="es-CO"/>
        </w:rPr>
        <w:t>.</w:t>
      </w:r>
      <w:r w:rsidR="0015405C">
        <w:rPr>
          <w:sz w:val="16"/>
          <w:szCs w:val="16"/>
          <w:lang w:val="es-CO"/>
        </w:rPr>
        <w:t xml:space="preserve"> del Decreto 2555 de 2010.</w:t>
      </w:r>
      <w:r w:rsidR="00725896">
        <w:rPr>
          <w:sz w:val="16"/>
          <w:szCs w:val="16"/>
          <w:lang w:val="es-CO"/>
        </w:rPr>
        <w:t xml:space="preserve"> </w:t>
      </w:r>
    </w:p>
    <w:p w14:paraId="3B9A07FC" w14:textId="77777777" w:rsidR="0015405C" w:rsidRDefault="0015405C" w:rsidP="00BE4846">
      <w:pPr>
        <w:ind w:left="0" w:firstLine="0"/>
        <w:rPr>
          <w:sz w:val="16"/>
          <w:szCs w:val="16"/>
          <w:lang w:val="es-CO"/>
        </w:rPr>
      </w:pPr>
    </w:p>
    <w:p w14:paraId="1F3123BE" w14:textId="77777777" w:rsidR="00725896" w:rsidRDefault="00725896" w:rsidP="00725896">
      <w:pPr>
        <w:ind w:left="0" w:firstLine="0"/>
        <w:rPr>
          <w:sz w:val="16"/>
          <w:szCs w:val="16"/>
          <w:lang w:val="es-CO"/>
        </w:rPr>
      </w:pPr>
      <w:r w:rsidRPr="00D9660B">
        <w:rPr>
          <w:sz w:val="16"/>
          <w:szCs w:val="16"/>
          <w:lang w:val="es-CO"/>
        </w:rPr>
        <w:t xml:space="preserve">Para el cálculo de </w:t>
      </w:r>
      <w:r w:rsidR="00075611" w:rsidRPr="00D9660B">
        <w:rPr>
          <w:sz w:val="16"/>
          <w:szCs w:val="16"/>
          <w:lang w:val="es-CO"/>
        </w:rPr>
        <w:t>dichos</w:t>
      </w:r>
      <w:r w:rsidRPr="00D9660B">
        <w:rPr>
          <w:sz w:val="16"/>
          <w:szCs w:val="16"/>
          <w:lang w:val="es-CO"/>
        </w:rPr>
        <w:t xml:space="preserve"> límites</w:t>
      </w:r>
      <w:r w:rsidR="00075611" w:rsidRPr="00D9660B">
        <w:rPr>
          <w:sz w:val="16"/>
          <w:szCs w:val="16"/>
          <w:lang w:val="es-CO"/>
        </w:rPr>
        <w:t>, se debe</w:t>
      </w:r>
      <w:r w:rsidRPr="00D9660B">
        <w:rPr>
          <w:sz w:val="16"/>
          <w:szCs w:val="16"/>
          <w:lang w:val="es-CO"/>
        </w:rPr>
        <w:t>n computar las operaciones activas de crédito, así como las demás operaciones previstas</w:t>
      </w:r>
      <w:r w:rsidRPr="0003416D">
        <w:rPr>
          <w:sz w:val="16"/>
          <w:szCs w:val="16"/>
          <w:lang w:val="es-CO"/>
        </w:rPr>
        <w:t xml:space="preserve"> en los Títulos II y III del Libro 1 de la Par</w:t>
      </w:r>
      <w:r w:rsidR="0003416D" w:rsidRPr="0003416D">
        <w:rPr>
          <w:sz w:val="16"/>
          <w:szCs w:val="16"/>
          <w:lang w:val="es-CO"/>
        </w:rPr>
        <w:t xml:space="preserve">te 2 del Decreto 2555 de 2010, las cuales deben ser identificadas conforme a las categorías determinadas en </w:t>
      </w:r>
      <w:r w:rsidR="00075611" w:rsidRPr="0003416D">
        <w:rPr>
          <w:sz w:val="16"/>
          <w:szCs w:val="16"/>
          <w:lang w:val="es-CO"/>
        </w:rPr>
        <w:t xml:space="preserve">el </w:t>
      </w:r>
      <w:r w:rsidR="0003416D" w:rsidRPr="0003416D">
        <w:rPr>
          <w:sz w:val="16"/>
          <w:szCs w:val="16"/>
          <w:lang w:val="es-CO"/>
        </w:rPr>
        <w:t>doc</w:t>
      </w:r>
      <w:r w:rsidR="00075611" w:rsidRPr="0003416D">
        <w:rPr>
          <w:sz w:val="16"/>
          <w:szCs w:val="16"/>
          <w:lang w:val="es-CO"/>
        </w:rPr>
        <w:t>umento técnico del Web Service que publiqu</w:t>
      </w:r>
      <w:bookmarkStart w:id="0" w:name="_GoBack"/>
      <w:bookmarkEnd w:id="0"/>
      <w:r w:rsidR="00075611" w:rsidRPr="0003416D">
        <w:rPr>
          <w:sz w:val="16"/>
          <w:szCs w:val="16"/>
          <w:lang w:val="es-CO"/>
        </w:rPr>
        <w:t>e la SFC en su página Web para el efecto.</w:t>
      </w:r>
      <w:r w:rsidR="00075611">
        <w:rPr>
          <w:sz w:val="16"/>
          <w:szCs w:val="16"/>
          <w:lang w:val="es-CO"/>
        </w:rPr>
        <w:t xml:space="preserve"> </w:t>
      </w:r>
    </w:p>
    <w:p w14:paraId="3B34F7A8" w14:textId="77777777" w:rsidR="00725896" w:rsidRDefault="00725896" w:rsidP="00725896">
      <w:pPr>
        <w:ind w:left="0" w:firstLine="0"/>
        <w:rPr>
          <w:sz w:val="16"/>
          <w:szCs w:val="16"/>
          <w:lang w:val="es-CO"/>
        </w:rPr>
      </w:pPr>
    </w:p>
    <w:p w14:paraId="7A0DB461" w14:textId="77777777" w:rsidR="00A51D40" w:rsidRDefault="00A51D40" w:rsidP="00084CB5">
      <w:pPr>
        <w:ind w:left="0" w:firstLine="0"/>
        <w:rPr>
          <w:sz w:val="16"/>
          <w:szCs w:val="16"/>
          <w:lang w:val="es-CO"/>
        </w:rPr>
      </w:pPr>
    </w:p>
    <w:p w14:paraId="7ACDF0F5" w14:textId="77777777" w:rsidR="0003416D" w:rsidRDefault="00C02521" w:rsidP="0003416D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4</w:t>
      </w:r>
      <w:r w:rsidR="00B1777D">
        <w:rPr>
          <w:b/>
          <w:sz w:val="16"/>
          <w:szCs w:val="16"/>
          <w:lang w:val="es-CO"/>
        </w:rPr>
        <w:t xml:space="preserve">. </w:t>
      </w:r>
      <w:r w:rsidR="00B1777D" w:rsidRPr="00B1777D">
        <w:rPr>
          <w:b/>
          <w:sz w:val="16"/>
          <w:szCs w:val="16"/>
          <w:lang w:val="es-CO"/>
        </w:rPr>
        <w:t>CONTROL Y VIGILANCIA</w:t>
      </w:r>
    </w:p>
    <w:p w14:paraId="49A1F3CB" w14:textId="77777777" w:rsidR="0003416D" w:rsidRDefault="0003416D" w:rsidP="0003416D">
      <w:pPr>
        <w:ind w:left="0" w:firstLine="0"/>
        <w:rPr>
          <w:sz w:val="16"/>
          <w:szCs w:val="16"/>
          <w:lang w:val="es-CO"/>
        </w:rPr>
      </w:pPr>
    </w:p>
    <w:p w14:paraId="745D7074" w14:textId="41D34EC1" w:rsidR="00951606" w:rsidRPr="00910248" w:rsidRDefault="00951606" w:rsidP="00371A14">
      <w:pPr>
        <w:ind w:left="0" w:firstLine="0"/>
        <w:rPr>
          <w:b/>
          <w:sz w:val="16"/>
          <w:szCs w:val="16"/>
          <w:lang w:val="es-CO"/>
        </w:rPr>
      </w:pPr>
      <w:r w:rsidRPr="00910248">
        <w:rPr>
          <w:b/>
          <w:sz w:val="16"/>
          <w:szCs w:val="16"/>
          <w:lang w:val="es-CO"/>
        </w:rPr>
        <w:t>4.1. Información</w:t>
      </w:r>
    </w:p>
    <w:p w14:paraId="31B65F77" w14:textId="77777777" w:rsidR="00951606" w:rsidRDefault="00951606" w:rsidP="00371A14">
      <w:pPr>
        <w:ind w:left="0" w:firstLine="0"/>
        <w:rPr>
          <w:sz w:val="16"/>
          <w:szCs w:val="16"/>
          <w:lang w:val="es-CO"/>
        </w:rPr>
      </w:pPr>
    </w:p>
    <w:p w14:paraId="65129846" w14:textId="684CE9FA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La información relacionada con las operaciones y los límites a que se refieren los subnumerales 4.</w:t>
      </w:r>
      <w:r w:rsidR="00316407">
        <w:rPr>
          <w:sz w:val="16"/>
          <w:szCs w:val="16"/>
          <w:lang w:val="es-CO"/>
        </w:rPr>
        <w:t>2</w:t>
      </w:r>
      <w:r>
        <w:rPr>
          <w:sz w:val="16"/>
          <w:szCs w:val="16"/>
          <w:lang w:val="es-CO"/>
        </w:rPr>
        <w:t>. y 4.</w:t>
      </w:r>
      <w:r w:rsidR="00316407">
        <w:rPr>
          <w:sz w:val="16"/>
          <w:szCs w:val="16"/>
          <w:lang w:val="es-CO"/>
        </w:rPr>
        <w:t>3</w:t>
      </w:r>
      <w:r>
        <w:rPr>
          <w:sz w:val="16"/>
          <w:szCs w:val="16"/>
          <w:lang w:val="es-CO"/>
        </w:rPr>
        <w:t xml:space="preserve">. del presente Capítulo, será capturada por la SFC. Para el efecto </w:t>
      </w:r>
      <w:r w:rsidRPr="0003416D">
        <w:rPr>
          <w:sz w:val="16"/>
          <w:szCs w:val="16"/>
          <w:lang w:val="es-CO"/>
        </w:rPr>
        <w:t>el holding financiero debe poner a disposición</w:t>
      </w:r>
      <w:r>
        <w:rPr>
          <w:sz w:val="16"/>
          <w:szCs w:val="16"/>
          <w:lang w:val="es-CO"/>
        </w:rPr>
        <w:t xml:space="preserve"> de la SFC la información</w:t>
      </w:r>
      <w:r w:rsidRPr="0003416D">
        <w:rPr>
          <w:sz w:val="16"/>
          <w:szCs w:val="16"/>
          <w:lang w:val="es-CO"/>
        </w:rPr>
        <w:t xml:space="preserve"> en un Web Service creado para el efecto, el cual debe contener:</w:t>
      </w:r>
    </w:p>
    <w:p w14:paraId="156893FE" w14:textId="77777777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</w:p>
    <w:p w14:paraId="68023397" w14:textId="0F8FE081" w:rsidR="00371A14" w:rsidRPr="00C70972" w:rsidRDefault="00371A14" w:rsidP="00371A14">
      <w:pPr>
        <w:ind w:left="0" w:firstLine="0"/>
        <w:rPr>
          <w:sz w:val="16"/>
          <w:szCs w:val="16"/>
          <w:lang w:val="es-CO"/>
        </w:rPr>
      </w:pPr>
      <w:r w:rsidRPr="008A403C">
        <w:rPr>
          <w:sz w:val="16"/>
          <w:szCs w:val="16"/>
          <w:lang w:val="es-CO"/>
        </w:rPr>
        <w:t>4.1.</w:t>
      </w:r>
      <w:r w:rsidR="00951606">
        <w:rPr>
          <w:sz w:val="16"/>
          <w:szCs w:val="16"/>
          <w:lang w:val="es-CO"/>
        </w:rPr>
        <w:t>1.</w:t>
      </w:r>
      <w:r w:rsidRPr="00C70972">
        <w:rPr>
          <w:sz w:val="16"/>
          <w:szCs w:val="16"/>
          <w:lang w:val="es-CO"/>
        </w:rPr>
        <w:t xml:space="preserve"> El detalle de la información requerida para la identificación de las operaciones y el cálculo de</w:t>
      </w:r>
      <w:r w:rsidRPr="008957A7">
        <w:rPr>
          <w:sz w:val="16"/>
          <w:szCs w:val="16"/>
          <w:lang w:val="es-CO"/>
        </w:rPr>
        <w:t xml:space="preserve"> los límites de exposición y concentración de rie</w:t>
      </w:r>
      <w:r w:rsidRPr="00BD7E3D">
        <w:rPr>
          <w:sz w:val="16"/>
          <w:szCs w:val="16"/>
          <w:lang w:val="es-CO"/>
        </w:rPr>
        <w:t xml:space="preserve">sgos entre entidades del conglomerado financiero y </w:t>
      </w:r>
      <w:r w:rsidR="00D71E4C">
        <w:rPr>
          <w:sz w:val="16"/>
          <w:szCs w:val="16"/>
          <w:lang w:val="es-CO"/>
        </w:rPr>
        <w:t xml:space="preserve">entre éstas y </w:t>
      </w:r>
      <w:r w:rsidRPr="00C70972">
        <w:rPr>
          <w:sz w:val="16"/>
          <w:szCs w:val="16"/>
          <w:lang w:val="es-CO"/>
        </w:rPr>
        <w:t>sus vinculados.</w:t>
      </w:r>
    </w:p>
    <w:p w14:paraId="37820A2A" w14:textId="77777777" w:rsidR="00371A14" w:rsidRPr="008A403C" w:rsidRDefault="00371A14" w:rsidP="00371A14">
      <w:pPr>
        <w:ind w:left="0" w:firstLine="0"/>
        <w:rPr>
          <w:sz w:val="16"/>
          <w:szCs w:val="16"/>
          <w:lang w:val="es-CO"/>
        </w:rPr>
      </w:pPr>
    </w:p>
    <w:p w14:paraId="12CCACBA" w14:textId="476621BA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  <w:r w:rsidRPr="008A403C">
        <w:rPr>
          <w:sz w:val="16"/>
          <w:szCs w:val="16"/>
          <w:lang w:val="es-CO"/>
        </w:rPr>
        <w:t>4.</w:t>
      </w:r>
      <w:r w:rsidR="00951606">
        <w:rPr>
          <w:sz w:val="16"/>
          <w:szCs w:val="16"/>
          <w:lang w:val="es-CO"/>
        </w:rPr>
        <w:t>1.</w:t>
      </w:r>
      <w:r w:rsidRPr="008A403C">
        <w:rPr>
          <w:sz w:val="16"/>
          <w:szCs w:val="16"/>
          <w:lang w:val="es-CO"/>
        </w:rPr>
        <w:t>2.</w:t>
      </w:r>
      <w:r w:rsidRPr="00C70972">
        <w:rPr>
          <w:sz w:val="16"/>
          <w:szCs w:val="16"/>
          <w:lang w:val="es-CO"/>
        </w:rPr>
        <w:t xml:space="preserve"> El documento que explique el cálculo de los límites de exposición y</w:t>
      </w:r>
      <w:r w:rsidRPr="008957A7">
        <w:rPr>
          <w:sz w:val="16"/>
          <w:szCs w:val="16"/>
          <w:lang w:val="es-CO"/>
        </w:rPr>
        <w:t xml:space="preserve"> concentración de riesgos entre entidades</w:t>
      </w:r>
      <w:r w:rsidR="005F36C0" w:rsidRPr="008957A7">
        <w:rPr>
          <w:sz w:val="16"/>
          <w:szCs w:val="16"/>
          <w:lang w:val="es-CO"/>
        </w:rPr>
        <w:t xml:space="preserve"> del conglomerado financiero y entre </w:t>
      </w:r>
      <w:r w:rsidR="005F36C0">
        <w:rPr>
          <w:sz w:val="16"/>
          <w:szCs w:val="16"/>
          <w:lang w:val="es-CO"/>
        </w:rPr>
        <w:t xml:space="preserve">éstas y </w:t>
      </w:r>
      <w:r w:rsidRPr="00C70972">
        <w:rPr>
          <w:sz w:val="16"/>
          <w:szCs w:val="16"/>
          <w:lang w:val="es-CO"/>
        </w:rPr>
        <w:t>sus vinculados.</w:t>
      </w:r>
    </w:p>
    <w:p w14:paraId="510B0947" w14:textId="77777777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</w:p>
    <w:p w14:paraId="2F6FBAFE" w14:textId="77777777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  <w:r w:rsidRPr="0003416D">
        <w:rPr>
          <w:sz w:val="16"/>
          <w:szCs w:val="16"/>
          <w:lang w:val="es-CO"/>
        </w:rPr>
        <w:t>En todo caso, el contenido del documento técnico del Web Service que publique la SFC en su página Web corresponderá con las instrucciones a que s</w:t>
      </w:r>
      <w:r w:rsidR="00CD25B7">
        <w:rPr>
          <w:sz w:val="16"/>
          <w:szCs w:val="16"/>
          <w:lang w:val="es-CO"/>
        </w:rPr>
        <w:t>e refiere el presente capítulo,</w:t>
      </w:r>
      <w:r w:rsidRPr="0003416D">
        <w:rPr>
          <w:sz w:val="16"/>
          <w:szCs w:val="16"/>
          <w:lang w:val="es-CO"/>
        </w:rPr>
        <w:t xml:space="preserve"> el Decreto 2555 de 2010</w:t>
      </w:r>
      <w:r w:rsidR="00CD25B7">
        <w:rPr>
          <w:sz w:val="16"/>
          <w:szCs w:val="16"/>
          <w:lang w:val="es-CO"/>
        </w:rPr>
        <w:t xml:space="preserve"> y demás normatividad vigente que resulte aplicable</w:t>
      </w:r>
      <w:r w:rsidRPr="0003416D">
        <w:rPr>
          <w:sz w:val="16"/>
          <w:szCs w:val="16"/>
          <w:lang w:val="es-CO"/>
        </w:rPr>
        <w:t>.</w:t>
      </w:r>
    </w:p>
    <w:p w14:paraId="6C655FB6" w14:textId="77777777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</w:p>
    <w:p w14:paraId="0815C73A" w14:textId="77777777" w:rsidR="00371A14" w:rsidRPr="0003416D" w:rsidRDefault="00371A14" w:rsidP="00371A14">
      <w:pPr>
        <w:ind w:left="0" w:firstLine="0"/>
        <w:rPr>
          <w:sz w:val="16"/>
          <w:szCs w:val="16"/>
          <w:lang w:val="es-CO"/>
        </w:rPr>
      </w:pPr>
      <w:r w:rsidRPr="0003416D">
        <w:rPr>
          <w:sz w:val="16"/>
          <w:szCs w:val="16"/>
          <w:lang w:val="es-CO"/>
        </w:rPr>
        <w:t>La información que el holding financiero ponga a disposición de la SFC debe tener la firma digital de su representante legal</w:t>
      </w:r>
      <w:r w:rsidR="00CD25B7">
        <w:rPr>
          <w:sz w:val="16"/>
          <w:szCs w:val="16"/>
          <w:lang w:val="es-CO"/>
        </w:rPr>
        <w:t xml:space="preserve"> y encontrarse debidamente actualizada conforme a las políticas </w:t>
      </w:r>
      <w:r w:rsidR="006D24DF">
        <w:rPr>
          <w:sz w:val="16"/>
          <w:szCs w:val="16"/>
          <w:lang w:val="es-CO"/>
        </w:rPr>
        <w:t>aprobadas</w:t>
      </w:r>
      <w:r w:rsidR="00CD25B7">
        <w:rPr>
          <w:sz w:val="16"/>
          <w:szCs w:val="16"/>
          <w:lang w:val="es-CO"/>
        </w:rPr>
        <w:t xml:space="preserve"> por su junta directiva</w:t>
      </w:r>
      <w:r w:rsidRPr="0003416D">
        <w:rPr>
          <w:sz w:val="16"/>
          <w:szCs w:val="16"/>
          <w:lang w:val="es-CO"/>
        </w:rPr>
        <w:t>. La información que no cuente con estos requisitos se entenderá por no puesta a disposición de la SFC.</w:t>
      </w:r>
    </w:p>
    <w:p w14:paraId="4688A428" w14:textId="77777777" w:rsidR="00371A14" w:rsidRDefault="00371A14" w:rsidP="0003416D">
      <w:pPr>
        <w:ind w:left="0" w:firstLine="0"/>
        <w:rPr>
          <w:sz w:val="16"/>
          <w:szCs w:val="16"/>
          <w:lang w:val="es-CO"/>
        </w:rPr>
      </w:pPr>
    </w:p>
    <w:p w14:paraId="030E7331" w14:textId="69B91C0F" w:rsidR="008B308E" w:rsidRPr="00A3671F" w:rsidRDefault="00371A14" w:rsidP="008B308E">
      <w:pPr>
        <w:ind w:left="0" w:firstLine="0"/>
        <w:rPr>
          <w:b/>
          <w:sz w:val="16"/>
          <w:szCs w:val="16"/>
          <w:lang w:val="es-CO"/>
        </w:rPr>
      </w:pPr>
      <w:r w:rsidRPr="00A3671F">
        <w:rPr>
          <w:b/>
          <w:sz w:val="16"/>
          <w:szCs w:val="16"/>
          <w:lang w:val="es-CO"/>
        </w:rPr>
        <w:t>4.</w:t>
      </w:r>
      <w:r w:rsidR="00951606" w:rsidRPr="00A3671F">
        <w:rPr>
          <w:b/>
          <w:sz w:val="16"/>
          <w:szCs w:val="16"/>
          <w:lang w:val="es-CO"/>
        </w:rPr>
        <w:t>2</w:t>
      </w:r>
      <w:r w:rsidR="008B308E" w:rsidRPr="00A3671F">
        <w:rPr>
          <w:b/>
          <w:sz w:val="16"/>
          <w:szCs w:val="16"/>
          <w:lang w:val="es-CO"/>
        </w:rPr>
        <w:t>. Operaciones entre las entidades del conglomerado financiero y con sus vinculados</w:t>
      </w:r>
    </w:p>
    <w:p w14:paraId="5C65DE6A" w14:textId="77777777" w:rsidR="008B308E" w:rsidRPr="00A3671F" w:rsidRDefault="008B308E" w:rsidP="008B308E">
      <w:pPr>
        <w:ind w:left="0" w:firstLine="0"/>
        <w:rPr>
          <w:sz w:val="16"/>
          <w:szCs w:val="16"/>
          <w:lang w:val="es-CO"/>
        </w:rPr>
      </w:pPr>
    </w:p>
    <w:p w14:paraId="0BD1864D" w14:textId="00C305EA" w:rsidR="00986350" w:rsidRPr="00986350" w:rsidRDefault="00986350" w:rsidP="00986350">
      <w:pPr>
        <w:ind w:left="0" w:firstLine="0"/>
        <w:rPr>
          <w:sz w:val="16"/>
          <w:szCs w:val="16"/>
          <w:lang w:val="es-CO"/>
        </w:rPr>
      </w:pPr>
      <w:r w:rsidRPr="00986350">
        <w:rPr>
          <w:sz w:val="16"/>
          <w:szCs w:val="16"/>
          <w:lang w:val="es-CO"/>
        </w:rPr>
        <w:t>La SFC realizará la captura de información de las operaciones que se realicen entre las entidades que conforman un conglomerado financiero y con sus vinculados, de</w:t>
      </w:r>
      <w:r>
        <w:rPr>
          <w:sz w:val="16"/>
          <w:szCs w:val="16"/>
          <w:lang w:val="es-CO"/>
        </w:rPr>
        <w:t xml:space="preserve"> </w:t>
      </w:r>
      <w:r w:rsidRPr="00986350">
        <w:rPr>
          <w:sz w:val="16"/>
          <w:szCs w:val="16"/>
          <w:lang w:val="es-CO"/>
        </w:rPr>
        <w:t>conformidad con los plazos establecidos en el instructivo del formato 406.</w:t>
      </w:r>
    </w:p>
    <w:p w14:paraId="1C8D2AEA" w14:textId="77777777" w:rsidR="008B308E" w:rsidRPr="00A3671F" w:rsidRDefault="008B308E" w:rsidP="008B308E">
      <w:pPr>
        <w:ind w:left="0" w:firstLine="0"/>
        <w:rPr>
          <w:sz w:val="16"/>
          <w:szCs w:val="16"/>
          <w:lang w:val="es-CO"/>
        </w:rPr>
      </w:pPr>
    </w:p>
    <w:p w14:paraId="6EB40821" w14:textId="3F77C098" w:rsidR="0026535E" w:rsidRPr="00A3671F" w:rsidRDefault="0026535E" w:rsidP="0026535E">
      <w:pPr>
        <w:ind w:left="0" w:firstLine="0"/>
        <w:rPr>
          <w:b/>
          <w:sz w:val="16"/>
          <w:szCs w:val="16"/>
          <w:lang w:val="es-CO"/>
        </w:rPr>
      </w:pPr>
      <w:r w:rsidRPr="00A3671F">
        <w:rPr>
          <w:b/>
          <w:sz w:val="16"/>
          <w:szCs w:val="16"/>
          <w:lang w:val="es-CO"/>
        </w:rPr>
        <w:t>4</w:t>
      </w:r>
      <w:r w:rsidR="00951606" w:rsidRPr="00A3671F">
        <w:rPr>
          <w:b/>
          <w:sz w:val="16"/>
          <w:szCs w:val="16"/>
          <w:lang w:val="es-CO"/>
        </w:rPr>
        <w:t>.3</w:t>
      </w:r>
      <w:r w:rsidRPr="00A3671F">
        <w:rPr>
          <w:b/>
          <w:sz w:val="16"/>
          <w:szCs w:val="16"/>
          <w:lang w:val="es-CO"/>
        </w:rPr>
        <w:t xml:space="preserve">. </w:t>
      </w:r>
      <w:r w:rsidR="001641AD" w:rsidRPr="00A3671F">
        <w:rPr>
          <w:b/>
          <w:sz w:val="16"/>
          <w:szCs w:val="16"/>
          <w:lang w:val="es-CO"/>
        </w:rPr>
        <w:t>Límites de exposición y concentración de riesgos entre entidades del conglo</w:t>
      </w:r>
      <w:r w:rsidRPr="00A3671F">
        <w:rPr>
          <w:b/>
          <w:sz w:val="16"/>
          <w:szCs w:val="16"/>
          <w:lang w:val="es-CO"/>
        </w:rPr>
        <w:t>merado financiero y con sus vinculados</w:t>
      </w:r>
    </w:p>
    <w:p w14:paraId="0BA8D1E1" w14:textId="77777777" w:rsidR="0026535E" w:rsidRPr="00A3671F" w:rsidRDefault="0026535E" w:rsidP="0026535E">
      <w:pPr>
        <w:ind w:left="0" w:firstLine="0"/>
        <w:rPr>
          <w:sz w:val="16"/>
          <w:szCs w:val="16"/>
          <w:lang w:val="es-CO"/>
        </w:rPr>
      </w:pPr>
    </w:p>
    <w:p w14:paraId="668849D3" w14:textId="48EE14CC" w:rsidR="004E007B" w:rsidRPr="00A3671F" w:rsidRDefault="001641AD" w:rsidP="004E007B">
      <w:pPr>
        <w:ind w:left="0" w:firstLine="0"/>
        <w:rPr>
          <w:sz w:val="16"/>
          <w:szCs w:val="16"/>
          <w:lang w:val="es-CO"/>
        </w:rPr>
      </w:pPr>
      <w:r w:rsidRPr="00A3671F">
        <w:rPr>
          <w:sz w:val="16"/>
          <w:szCs w:val="16"/>
          <w:lang w:val="es-CO"/>
        </w:rPr>
        <w:t xml:space="preserve">La SFC realizará </w:t>
      </w:r>
      <w:r w:rsidR="00BD7E3D" w:rsidRPr="00A3671F">
        <w:rPr>
          <w:sz w:val="16"/>
          <w:szCs w:val="16"/>
          <w:lang w:val="es-CO"/>
        </w:rPr>
        <w:t>la captura de información relacionada con</w:t>
      </w:r>
      <w:r w:rsidRPr="00A3671F">
        <w:rPr>
          <w:sz w:val="16"/>
          <w:szCs w:val="16"/>
          <w:lang w:val="es-CO"/>
        </w:rPr>
        <w:t xml:space="preserve"> los límites de exposición y concentración de riesgos entre entidades del conglomerado financiero y </w:t>
      </w:r>
      <w:r w:rsidR="00C70972" w:rsidRPr="00A3671F">
        <w:rPr>
          <w:sz w:val="16"/>
          <w:szCs w:val="16"/>
          <w:lang w:val="es-CO"/>
        </w:rPr>
        <w:t>entre éstas y</w:t>
      </w:r>
      <w:r w:rsidRPr="00A3671F">
        <w:rPr>
          <w:sz w:val="16"/>
          <w:szCs w:val="16"/>
          <w:lang w:val="es-CO"/>
        </w:rPr>
        <w:t xml:space="preserve"> sus vinculados, </w:t>
      </w:r>
      <w:r w:rsidR="009C27B5" w:rsidRPr="00A3671F">
        <w:rPr>
          <w:sz w:val="16"/>
          <w:szCs w:val="16"/>
          <w:lang w:val="es-CO"/>
        </w:rPr>
        <w:t xml:space="preserve">con base en la información del último patrimonio técnico del conglomerado financiero disponible, </w:t>
      </w:r>
      <w:r w:rsidR="006C6345" w:rsidRPr="00A3671F">
        <w:rPr>
          <w:sz w:val="16"/>
          <w:szCs w:val="16"/>
          <w:lang w:val="es-CO"/>
        </w:rPr>
        <w:t xml:space="preserve">el listado de vinculados actualizado a la misma fecha de corte </w:t>
      </w:r>
      <w:r w:rsidR="009C27B5" w:rsidRPr="00A3671F">
        <w:rPr>
          <w:sz w:val="16"/>
          <w:szCs w:val="16"/>
          <w:lang w:val="es-CO"/>
        </w:rPr>
        <w:t xml:space="preserve">y </w:t>
      </w:r>
      <w:r w:rsidRPr="00A3671F">
        <w:rPr>
          <w:sz w:val="16"/>
          <w:szCs w:val="16"/>
          <w:lang w:val="es-CO"/>
        </w:rPr>
        <w:t xml:space="preserve">conforme a los límites cuantitativos </w:t>
      </w:r>
      <w:r w:rsidR="007175D5" w:rsidRPr="00A3671F">
        <w:rPr>
          <w:sz w:val="16"/>
          <w:szCs w:val="16"/>
          <w:lang w:val="es-CO"/>
        </w:rPr>
        <w:t>aprobados por la junta directiva del holding financiero e incorporado en la política establecida para el efecto, conforme a lo dispuesto en l</w:t>
      </w:r>
      <w:r w:rsidR="00713C97" w:rsidRPr="00A3671F">
        <w:rPr>
          <w:sz w:val="16"/>
          <w:szCs w:val="16"/>
          <w:lang w:val="es-CO"/>
        </w:rPr>
        <w:t>os</w:t>
      </w:r>
      <w:r w:rsidR="007175D5" w:rsidRPr="00A3671F">
        <w:rPr>
          <w:sz w:val="16"/>
          <w:szCs w:val="16"/>
          <w:lang w:val="es-CO"/>
        </w:rPr>
        <w:t xml:space="preserve"> art</w:t>
      </w:r>
      <w:r w:rsidR="00713C97" w:rsidRPr="00A3671F">
        <w:rPr>
          <w:sz w:val="16"/>
          <w:szCs w:val="16"/>
          <w:lang w:val="es-CO"/>
        </w:rPr>
        <w:t>s</w:t>
      </w:r>
      <w:r w:rsidR="007175D5" w:rsidRPr="00A3671F">
        <w:rPr>
          <w:sz w:val="16"/>
          <w:szCs w:val="16"/>
          <w:lang w:val="es-CO"/>
        </w:rPr>
        <w:t>. 2.39.3.2.1.</w:t>
      </w:r>
      <w:r w:rsidR="008957A7" w:rsidRPr="00A3671F">
        <w:rPr>
          <w:sz w:val="16"/>
          <w:szCs w:val="16"/>
          <w:lang w:val="es-CO"/>
        </w:rPr>
        <w:t xml:space="preserve">, </w:t>
      </w:r>
      <w:r w:rsidR="00713C97" w:rsidRPr="00A3671F">
        <w:rPr>
          <w:sz w:val="16"/>
          <w:szCs w:val="16"/>
          <w:lang w:val="es-CO"/>
        </w:rPr>
        <w:t xml:space="preserve">2.39.3.2.2. </w:t>
      </w:r>
      <w:r w:rsidR="008957A7" w:rsidRPr="00A3671F">
        <w:rPr>
          <w:sz w:val="16"/>
          <w:szCs w:val="16"/>
          <w:lang w:val="es-CO"/>
        </w:rPr>
        <w:t xml:space="preserve">y 2.39.3.2.4. </w:t>
      </w:r>
      <w:r w:rsidR="007175D5" w:rsidRPr="00A3671F">
        <w:rPr>
          <w:sz w:val="16"/>
          <w:szCs w:val="16"/>
          <w:lang w:val="es-CO"/>
        </w:rPr>
        <w:t>del Dec</w:t>
      </w:r>
      <w:r w:rsidR="0079718B" w:rsidRPr="00A3671F">
        <w:rPr>
          <w:sz w:val="16"/>
          <w:szCs w:val="16"/>
          <w:lang w:val="es-CO"/>
        </w:rPr>
        <w:t>reto</w:t>
      </w:r>
      <w:r w:rsidR="007175D5" w:rsidRPr="00A3671F">
        <w:rPr>
          <w:sz w:val="16"/>
          <w:szCs w:val="16"/>
          <w:lang w:val="es-CO"/>
        </w:rPr>
        <w:t xml:space="preserve"> 2555 de 2010. </w:t>
      </w:r>
      <w:r w:rsidR="004E007B" w:rsidRPr="00A3671F">
        <w:rPr>
          <w:sz w:val="16"/>
          <w:szCs w:val="16"/>
          <w:lang w:val="es-CO"/>
        </w:rPr>
        <w:t>Esta captura de información se realizará</w:t>
      </w:r>
      <w:r w:rsidR="008F5C8D" w:rsidRPr="00A3671F">
        <w:rPr>
          <w:sz w:val="16"/>
          <w:szCs w:val="16"/>
          <w:lang w:val="es-CO"/>
        </w:rPr>
        <w:t xml:space="preserve"> en el plazo establecido en el </w:t>
      </w:r>
      <w:r w:rsidR="00986350">
        <w:rPr>
          <w:sz w:val="16"/>
          <w:szCs w:val="16"/>
          <w:lang w:val="es-CO"/>
        </w:rPr>
        <w:t xml:space="preserve">instructivo del </w:t>
      </w:r>
      <w:r w:rsidR="008F5C8D" w:rsidRPr="00A3671F">
        <w:rPr>
          <w:sz w:val="16"/>
          <w:szCs w:val="16"/>
          <w:lang w:val="es-CO"/>
        </w:rPr>
        <w:t>formato 403</w:t>
      </w:r>
      <w:r w:rsidR="004E007B" w:rsidRPr="00A3671F">
        <w:rPr>
          <w:sz w:val="16"/>
          <w:szCs w:val="16"/>
          <w:lang w:val="es-CO"/>
        </w:rPr>
        <w:t>.</w:t>
      </w:r>
    </w:p>
    <w:p w14:paraId="1585207C" w14:textId="77777777" w:rsidR="003748D8" w:rsidRPr="00A3671F" w:rsidRDefault="003748D8" w:rsidP="001641AD">
      <w:pPr>
        <w:ind w:left="0" w:firstLine="0"/>
        <w:rPr>
          <w:sz w:val="16"/>
          <w:szCs w:val="16"/>
          <w:lang w:val="es-CO"/>
        </w:rPr>
      </w:pPr>
    </w:p>
    <w:p w14:paraId="2F3C000D" w14:textId="70246AF2" w:rsidR="009C27B5" w:rsidRPr="00A3671F" w:rsidRDefault="003748D8" w:rsidP="001641AD">
      <w:pPr>
        <w:ind w:left="0" w:firstLine="0"/>
        <w:rPr>
          <w:sz w:val="16"/>
          <w:szCs w:val="16"/>
          <w:lang w:val="es-CO"/>
        </w:rPr>
      </w:pPr>
      <w:r w:rsidRPr="00A3671F">
        <w:rPr>
          <w:sz w:val="16"/>
          <w:szCs w:val="16"/>
          <w:lang w:val="es-CO"/>
        </w:rPr>
        <w:t xml:space="preserve">Dicha política </w:t>
      </w:r>
      <w:r w:rsidR="009C27B5" w:rsidRPr="00A3671F">
        <w:rPr>
          <w:sz w:val="16"/>
          <w:szCs w:val="16"/>
          <w:lang w:val="es-CO"/>
        </w:rPr>
        <w:t xml:space="preserve">debe ser presentada </w:t>
      </w:r>
      <w:r w:rsidR="006D24DF" w:rsidRPr="00A3671F">
        <w:rPr>
          <w:sz w:val="16"/>
          <w:szCs w:val="16"/>
          <w:lang w:val="es-CO"/>
        </w:rPr>
        <w:t xml:space="preserve">previamente </w:t>
      </w:r>
      <w:r w:rsidR="009C27B5" w:rsidRPr="00A3671F">
        <w:rPr>
          <w:sz w:val="16"/>
          <w:szCs w:val="16"/>
          <w:lang w:val="es-CO"/>
        </w:rPr>
        <w:t>a la SFC jun</w:t>
      </w:r>
      <w:r w:rsidRPr="00A3671F">
        <w:rPr>
          <w:sz w:val="16"/>
          <w:szCs w:val="16"/>
          <w:lang w:val="es-CO"/>
        </w:rPr>
        <w:t>to con las respectivas justificaciones t</w:t>
      </w:r>
      <w:r w:rsidR="009C27B5" w:rsidRPr="00A3671F">
        <w:rPr>
          <w:sz w:val="16"/>
          <w:szCs w:val="16"/>
          <w:lang w:val="es-CO"/>
        </w:rPr>
        <w:t xml:space="preserve">écnicas. Cualquier modificación a la política o a los límites de exposición </w:t>
      </w:r>
      <w:r w:rsidR="00C139CD" w:rsidRPr="00A3671F">
        <w:rPr>
          <w:sz w:val="16"/>
          <w:szCs w:val="16"/>
          <w:lang w:val="es-CO"/>
        </w:rPr>
        <w:t xml:space="preserve">aprobados </w:t>
      </w:r>
      <w:r w:rsidR="009C27B5" w:rsidRPr="00A3671F">
        <w:rPr>
          <w:sz w:val="16"/>
          <w:szCs w:val="16"/>
          <w:lang w:val="es-CO"/>
        </w:rPr>
        <w:t xml:space="preserve">por la junta directiva debe ser </w:t>
      </w:r>
      <w:r w:rsidR="006D24DF" w:rsidRPr="00A3671F">
        <w:rPr>
          <w:sz w:val="16"/>
          <w:szCs w:val="16"/>
          <w:lang w:val="es-CO"/>
        </w:rPr>
        <w:t>presentada</w:t>
      </w:r>
      <w:r w:rsidR="007E7FC7" w:rsidRPr="00A3671F">
        <w:rPr>
          <w:sz w:val="16"/>
          <w:szCs w:val="16"/>
          <w:lang w:val="es-CO"/>
        </w:rPr>
        <w:t xml:space="preserve"> </w:t>
      </w:r>
      <w:r w:rsidR="009C27B5" w:rsidRPr="00A3671F">
        <w:rPr>
          <w:sz w:val="16"/>
          <w:szCs w:val="16"/>
          <w:lang w:val="es-CO"/>
        </w:rPr>
        <w:t xml:space="preserve">a la SFC </w:t>
      </w:r>
      <w:r w:rsidR="007E7FC7" w:rsidRPr="00A3671F">
        <w:rPr>
          <w:sz w:val="16"/>
          <w:szCs w:val="16"/>
          <w:lang w:val="es-CO"/>
        </w:rPr>
        <w:t>junto con el respectivo documento t</w:t>
      </w:r>
      <w:r w:rsidR="002B46F0" w:rsidRPr="00A3671F">
        <w:rPr>
          <w:sz w:val="16"/>
          <w:szCs w:val="16"/>
          <w:lang w:val="es-CO"/>
        </w:rPr>
        <w:t>écnico</w:t>
      </w:r>
      <w:r w:rsidR="007E7FC7" w:rsidRPr="00A3671F">
        <w:rPr>
          <w:sz w:val="16"/>
          <w:szCs w:val="16"/>
          <w:lang w:val="es-CO"/>
        </w:rPr>
        <w:t>,</w:t>
      </w:r>
      <w:r w:rsidR="002B46F0" w:rsidRPr="00A3671F">
        <w:rPr>
          <w:sz w:val="16"/>
          <w:szCs w:val="16"/>
          <w:lang w:val="es-CO"/>
        </w:rPr>
        <w:t xml:space="preserve"> </w:t>
      </w:r>
      <w:r w:rsidR="009C27B5" w:rsidRPr="00A3671F">
        <w:rPr>
          <w:sz w:val="16"/>
          <w:szCs w:val="16"/>
          <w:lang w:val="es-CO"/>
        </w:rPr>
        <w:t xml:space="preserve">de forma previa a su aplicación, </w:t>
      </w:r>
      <w:r w:rsidR="008E1DBB" w:rsidRPr="00A3671F">
        <w:rPr>
          <w:sz w:val="16"/>
          <w:szCs w:val="16"/>
          <w:lang w:val="es-CO"/>
        </w:rPr>
        <w:t xml:space="preserve">con el </w:t>
      </w:r>
      <w:r w:rsidR="009C27B5" w:rsidRPr="00A3671F">
        <w:rPr>
          <w:sz w:val="16"/>
          <w:szCs w:val="16"/>
          <w:lang w:val="es-CO"/>
        </w:rPr>
        <w:t xml:space="preserve">fin de mantener la información actualizada para los respectivos controles de ley. </w:t>
      </w:r>
    </w:p>
    <w:p w14:paraId="2BDAC5BF" w14:textId="77777777" w:rsidR="009C27B5" w:rsidRPr="00A3671F" w:rsidRDefault="009C27B5" w:rsidP="001641AD">
      <w:pPr>
        <w:ind w:left="0" w:firstLine="0"/>
        <w:rPr>
          <w:sz w:val="16"/>
          <w:szCs w:val="16"/>
          <w:lang w:val="es-CO"/>
        </w:rPr>
      </w:pPr>
    </w:p>
    <w:p w14:paraId="02E0EDC2" w14:textId="77777777" w:rsidR="009C27B5" w:rsidRDefault="009C27B5" w:rsidP="001641AD">
      <w:pPr>
        <w:ind w:left="0" w:firstLine="0"/>
        <w:rPr>
          <w:sz w:val="16"/>
          <w:szCs w:val="16"/>
          <w:lang w:val="es-CO"/>
        </w:rPr>
      </w:pPr>
      <w:r w:rsidRPr="00A3671F">
        <w:rPr>
          <w:sz w:val="16"/>
          <w:szCs w:val="16"/>
          <w:lang w:val="es-CO"/>
        </w:rPr>
        <w:t xml:space="preserve">En todo caso, la SFC realizará </w:t>
      </w:r>
      <w:r w:rsidR="004E007B" w:rsidRPr="00A3671F">
        <w:rPr>
          <w:sz w:val="16"/>
          <w:szCs w:val="16"/>
          <w:lang w:val="es-CO"/>
        </w:rPr>
        <w:t>la supervisión</w:t>
      </w:r>
      <w:r w:rsidRPr="00A3671F">
        <w:rPr>
          <w:sz w:val="16"/>
          <w:szCs w:val="16"/>
          <w:lang w:val="es-CO"/>
        </w:rPr>
        <w:t xml:space="preserve"> de los límites de exposición y concentración de riesgos entre entidades del conglomerado financiero y con sus vinculados con base en la última política presentada</w:t>
      </w:r>
      <w:r w:rsidR="00455C0E" w:rsidRPr="00A3671F">
        <w:rPr>
          <w:sz w:val="16"/>
          <w:szCs w:val="16"/>
          <w:lang w:val="es-CO"/>
        </w:rPr>
        <w:t xml:space="preserve"> vigente al corte de información que se evalúa</w:t>
      </w:r>
      <w:r w:rsidRPr="00A3671F">
        <w:rPr>
          <w:sz w:val="16"/>
          <w:szCs w:val="16"/>
          <w:lang w:val="es-CO"/>
        </w:rPr>
        <w:t xml:space="preserve"> </w:t>
      </w:r>
      <w:r w:rsidR="00713C97" w:rsidRPr="00A3671F">
        <w:rPr>
          <w:sz w:val="16"/>
          <w:szCs w:val="16"/>
          <w:lang w:val="es-CO"/>
        </w:rPr>
        <w:t>y frente a la cual no se hayan requerido ajustes</w:t>
      </w:r>
      <w:r w:rsidRPr="00A3671F">
        <w:rPr>
          <w:sz w:val="16"/>
          <w:szCs w:val="16"/>
          <w:lang w:val="es-CO"/>
        </w:rPr>
        <w:t>.</w:t>
      </w:r>
      <w:r>
        <w:rPr>
          <w:sz w:val="16"/>
          <w:szCs w:val="16"/>
          <w:lang w:val="es-CO"/>
        </w:rPr>
        <w:t xml:space="preserve"> </w:t>
      </w:r>
    </w:p>
    <w:p w14:paraId="0A0DD5E4" w14:textId="77777777" w:rsidR="009C27B5" w:rsidRDefault="009C27B5" w:rsidP="001641AD">
      <w:pPr>
        <w:ind w:left="0" w:firstLine="0"/>
        <w:rPr>
          <w:sz w:val="16"/>
          <w:szCs w:val="16"/>
          <w:lang w:val="es-CO"/>
        </w:rPr>
      </w:pPr>
    </w:p>
    <w:p w14:paraId="4FD337F6" w14:textId="77777777" w:rsidR="000D1C59" w:rsidRPr="0003416D" w:rsidRDefault="000D1C59" w:rsidP="00B1777D">
      <w:pPr>
        <w:ind w:left="0" w:firstLine="0"/>
        <w:rPr>
          <w:sz w:val="16"/>
          <w:szCs w:val="16"/>
          <w:lang w:val="es-CO"/>
        </w:rPr>
      </w:pPr>
    </w:p>
    <w:p w14:paraId="7516C8AC" w14:textId="77777777" w:rsidR="00084CB5" w:rsidRDefault="00BE4846" w:rsidP="009C27B5">
      <w:pPr>
        <w:ind w:left="0" w:firstLine="0"/>
        <w:rPr>
          <w:rFonts w:cs="Arial"/>
          <w:b/>
          <w:sz w:val="16"/>
          <w:szCs w:val="16"/>
          <w:lang w:val="es-ES"/>
        </w:rPr>
      </w:pPr>
      <w:r>
        <w:rPr>
          <w:b/>
          <w:sz w:val="16"/>
          <w:szCs w:val="16"/>
          <w:lang w:val="es-CO"/>
        </w:rPr>
        <w:t xml:space="preserve">5. </w:t>
      </w:r>
      <w:r w:rsidR="00084CB5" w:rsidRPr="00084CB5">
        <w:rPr>
          <w:rFonts w:cs="Arial"/>
          <w:b/>
          <w:sz w:val="16"/>
          <w:szCs w:val="16"/>
          <w:lang w:val="es-ES"/>
        </w:rPr>
        <w:t>INCUMPLIMIENTOS</w:t>
      </w:r>
      <w:r w:rsidR="00735BFA">
        <w:rPr>
          <w:rFonts w:cs="Arial"/>
          <w:b/>
          <w:sz w:val="16"/>
          <w:szCs w:val="16"/>
          <w:lang w:val="es-ES"/>
        </w:rPr>
        <w:t xml:space="preserve"> Y SANCIONES </w:t>
      </w:r>
    </w:p>
    <w:p w14:paraId="061D6A1F" w14:textId="77777777" w:rsidR="00735BFA" w:rsidRDefault="00735BFA" w:rsidP="00084CB5">
      <w:pPr>
        <w:tabs>
          <w:tab w:val="left" w:pos="426"/>
        </w:tabs>
        <w:ind w:left="0" w:firstLine="0"/>
        <w:rPr>
          <w:rFonts w:cs="Arial"/>
          <w:b/>
          <w:sz w:val="16"/>
          <w:szCs w:val="16"/>
          <w:lang w:val="es-ES"/>
        </w:rPr>
      </w:pPr>
    </w:p>
    <w:p w14:paraId="317CCFA6" w14:textId="77777777" w:rsidR="002C4C4B" w:rsidRDefault="00735BFA" w:rsidP="002C4C4B">
      <w:pPr>
        <w:ind w:left="0" w:firstLine="0"/>
        <w:rPr>
          <w:rFonts w:cs="Arial"/>
          <w:sz w:val="16"/>
          <w:szCs w:val="16"/>
          <w:lang w:val="es-ES"/>
        </w:rPr>
      </w:pPr>
      <w:r w:rsidRPr="00B1777D">
        <w:rPr>
          <w:sz w:val="16"/>
          <w:szCs w:val="16"/>
          <w:lang w:val="es-CO"/>
        </w:rPr>
        <w:t xml:space="preserve">En caso de que el holding financiero falte a su deber de poner a disposición la información relacionada con </w:t>
      </w:r>
      <w:r w:rsidR="002C4C4B">
        <w:rPr>
          <w:sz w:val="16"/>
          <w:szCs w:val="16"/>
          <w:lang w:val="es-CO"/>
        </w:rPr>
        <w:t xml:space="preserve">las </w:t>
      </w:r>
      <w:r w:rsidR="002C4C4B" w:rsidRPr="002C4C4B">
        <w:rPr>
          <w:sz w:val="16"/>
          <w:szCs w:val="16"/>
          <w:lang w:val="es-CO"/>
        </w:rPr>
        <w:t xml:space="preserve">operaciones y los límites de exposición </w:t>
      </w:r>
      <w:r w:rsidR="006D24DF">
        <w:rPr>
          <w:sz w:val="16"/>
          <w:szCs w:val="16"/>
          <w:lang w:val="es-CO"/>
        </w:rPr>
        <w:t>a que se refieren los subnumerales 4.3. y 4.4. del presente Capítulo,</w:t>
      </w:r>
      <w:r w:rsidRPr="00B1777D">
        <w:rPr>
          <w:sz w:val="16"/>
          <w:szCs w:val="16"/>
          <w:lang w:val="es-CO"/>
        </w:rPr>
        <w:t xml:space="preserve"> lo haga sin el cumplimiento de los requisitos previstos anteriormente, </w:t>
      </w:r>
      <w:r w:rsidR="004E007B">
        <w:rPr>
          <w:sz w:val="16"/>
          <w:szCs w:val="16"/>
          <w:lang w:val="es-CO"/>
        </w:rPr>
        <w:t xml:space="preserve">o incumpla cualquiera de </w:t>
      </w:r>
      <w:r w:rsidR="004E007B">
        <w:rPr>
          <w:rFonts w:cs="Arial"/>
          <w:sz w:val="16"/>
          <w:szCs w:val="16"/>
          <w:lang w:val="es-ES"/>
        </w:rPr>
        <w:t xml:space="preserve">las instrucciones previstas en el presente Capítulo, </w:t>
      </w:r>
      <w:r w:rsidRPr="00B1777D">
        <w:rPr>
          <w:sz w:val="16"/>
          <w:szCs w:val="16"/>
          <w:lang w:val="es-CO"/>
        </w:rPr>
        <w:t>dará lugar a la imposición de sanciones</w:t>
      </w:r>
      <w:r w:rsidR="00084CB5" w:rsidRPr="00084CB5">
        <w:rPr>
          <w:rFonts w:cs="Arial"/>
          <w:sz w:val="16"/>
          <w:szCs w:val="16"/>
          <w:lang w:val="es-ES"/>
        </w:rPr>
        <w:t xml:space="preserve"> </w:t>
      </w:r>
      <w:r w:rsidR="006D24DF">
        <w:rPr>
          <w:rFonts w:cs="Arial"/>
          <w:sz w:val="16"/>
          <w:szCs w:val="16"/>
          <w:lang w:val="es-ES"/>
        </w:rPr>
        <w:t>que resulten procedentes</w:t>
      </w:r>
      <w:r w:rsidR="00CD25B7" w:rsidRPr="00CD25B7">
        <w:rPr>
          <w:rFonts w:cs="Arial"/>
          <w:sz w:val="16"/>
          <w:szCs w:val="16"/>
          <w:lang w:val="es-ES"/>
        </w:rPr>
        <w:t xml:space="preserve"> por parte de la SFC</w:t>
      </w:r>
      <w:r w:rsidR="00CD25B7">
        <w:rPr>
          <w:rFonts w:cs="Arial"/>
          <w:sz w:val="16"/>
          <w:szCs w:val="16"/>
          <w:lang w:val="es-ES"/>
        </w:rPr>
        <w:t xml:space="preserve">, </w:t>
      </w:r>
      <w:r w:rsidR="00084CB5" w:rsidRPr="00084CB5">
        <w:rPr>
          <w:rFonts w:cs="Arial"/>
          <w:sz w:val="16"/>
          <w:szCs w:val="16"/>
          <w:lang w:val="es-ES"/>
        </w:rPr>
        <w:t>conforme a sus facultades legales</w:t>
      </w:r>
      <w:r w:rsidR="002C4C4B">
        <w:rPr>
          <w:rFonts w:cs="Arial"/>
          <w:sz w:val="16"/>
          <w:szCs w:val="16"/>
          <w:lang w:val="es-ES"/>
        </w:rPr>
        <w:t>.</w:t>
      </w:r>
    </w:p>
    <w:p w14:paraId="1C36E97A" w14:textId="77777777" w:rsidR="002C4C4B" w:rsidRDefault="002C4C4B" w:rsidP="002C4C4B">
      <w:pPr>
        <w:ind w:left="0" w:firstLine="0"/>
        <w:rPr>
          <w:rFonts w:cs="Arial"/>
          <w:sz w:val="16"/>
          <w:szCs w:val="16"/>
          <w:lang w:val="es-ES"/>
        </w:rPr>
      </w:pPr>
    </w:p>
    <w:p w14:paraId="01A79C74" w14:textId="77777777" w:rsidR="00084CB5" w:rsidRPr="00084CB5" w:rsidRDefault="00084CB5" w:rsidP="002C4C4B">
      <w:pPr>
        <w:ind w:left="0" w:firstLine="0"/>
        <w:rPr>
          <w:rFonts w:cs="Arial"/>
          <w:sz w:val="16"/>
          <w:szCs w:val="16"/>
          <w:lang w:val="es-ES"/>
        </w:rPr>
      </w:pPr>
    </w:p>
    <w:sectPr w:rsidR="00084CB5" w:rsidRPr="00084CB5" w:rsidSect="00AA7474">
      <w:footerReference w:type="default" r:id="rId13"/>
      <w:pgSz w:w="12242" w:h="18722" w:code="14"/>
      <w:pgMar w:top="1418" w:right="1474" w:bottom="1418" w:left="1474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5A371" w14:textId="77777777" w:rsidR="00BF18F9" w:rsidRDefault="00BF18F9" w:rsidP="006D1E1A">
      <w:r>
        <w:separator/>
      </w:r>
    </w:p>
  </w:endnote>
  <w:endnote w:type="continuationSeparator" w:id="0">
    <w:p w14:paraId="0375EF48" w14:textId="77777777" w:rsidR="00BF18F9" w:rsidRDefault="00BF18F9" w:rsidP="006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D4AEF" w14:textId="77777777" w:rsidR="00754293" w:rsidRPr="008D423C" w:rsidRDefault="00754293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8D423C">
      <w:rPr>
        <w:rFonts w:cs="Arial"/>
        <w:b/>
        <w:sz w:val="18"/>
        <w:szCs w:val="18"/>
      </w:rPr>
      <w:t xml:space="preserve"> </w:t>
    </w:r>
    <w:r w:rsidR="00AD0765">
      <w:rPr>
        <w:rFonts w:cs="Arial"/>
        <w:b/>
        <w:sz w:val="18"/>
        <w:szCs w:val="18"/>
      </w:rPr>
      <w:t xml:space="preserve">                                                                                                                          </w:t>
    </w:r>
  </w:p>
  <w:p w14:paraId="2FE07EE1" w14:textId="43FE9C3E" w:rsidR="00C2594B" w:rsidRPr="006D1E1A" w:rsidRDefault="00F871CC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</w:t>
    </w:r>
    <w:proofErr w:type="gramStart"/>
    <w:r>
      <w:rPr>
        <w:rFonts w:cs="Arial"/>
        <w:b/>
        <w:sz w:val="18"/>
        <w:szCs w:val="18"/>
      </w:rPr>
      <w:t>Externa</w:t>
    </w:r>
    <w:r w:rsidR="00FF7958">
      <w:rPr>
        <w:rFonts w:cs="Arial"/>
        <w:b/>
        <w:szCs w:val="18"/>
      </w:rPr>
      <w:t xml:space="preserve"> </w:t>
    </w:r>
    <w:r w:rsidR="00FF7958" w:rsidRPr="00254E85">
      <w:rPr>
        <w:rFonts w:cs="Arial"/>
        <w:b/>
        <w:sz w:val="18"/>
        <w:szCs w:val="18"/>
      </w:rPr>
      <w:t xml:space="preserve"> </w:t>
    </w:r>
    <w:r w:rsidR="00254E85" w:rsidRPr="00254E85">
      <w:rPr>
        <w:rFonts w:cs="Arial"/>
        <w:b/>
        <w:sz w:val="18"/>
        <w:szCs w:val="18"/>
      </w:rPr>
      <w:t>030</w:t>
    </w:r>
    <w:proofErr w:type="gramEnd"/>
    <w:r w:rsidR="00FF7958">
      <w:rPr>
        <w:rFonts w:cs="Arial"/>
        <w:b/>
        <w:szCs w:val="18"/>
      </w:rPr>
      <w:t xml:space="preserve">   </w:t>
    </w:r>
    <w:r w:rsidR="00271B43">
      <w:rPr>
        <w:rFonts w:cs="Arial"/>
        <w:b/>
        <w:sz w:val="18"/>
        <w:szCs w:val="18"/>
      </w:rPr>
      <w:t>de</w:t>
    </w:r>
    <w:r>
      <w:rPr>
        <w:rFonts w:cs="Arial"/>
        <w:b/>
        <w:sz w:val="18"/>
        <w:szCs w:val="18"/>
      </w:rPr>
      <w:t xml:space="preserve"> </w:t>
    </w:r>
    <w:r w:rsidR="00BE4846">
      <w:rPr>
        <w:rFonts w:cs="Arial"/>
        <w:b/>
        <w:sz w:val="18"/>
        <w:szCs w:val="18"/>
      </w:rPr>
      <w:t>20</w:t>
    </w:r>
    <w:r w:rsidR="00C31231">
      <w:rPr>
        <w:rFonts w:cs="Arial"/>
        <w:b/>
        <w:sz w:val="18"/>
        <w:szCs w:val="18"/>
      </w:rPr>
      <w:t>20</w:t>
    </w:r>
    <w:r w:rsidR="00C2594B" w:rsidRPr="006D1E1A">
      <w:rPr>
        <w:rFonts w:cs="Arial"/>
        <w:b/>
        <w:sz w:val="18"/>
        <w:szCs w:val="18"/>
      </w:rPr>
      <w:tab/>
    </w:r>
    <w:r w:rsidR="00C2594B" w:rsidRPr="006D1E1A">
      <w:rPr>
        <w:rFonts w:cs="Arial"/>
        <w:b/>
        <w:sz w:val="18"/>
        <w:szCs w:val="18"/>
      </w:rPr>
      <w:tab/>
    </w:r>
    <w:r w:rsidR="00254E85">
      <w:rPr>
        <w:rFonts w:cs="Arial"/>
        <w:b/>
        <w:sz w:val="18"/>
        <w:szCs w:val="18"/>
      </w:rPr>
      <w:t xml:space="preserve">Octubre </w:t>
    </w:r>
    <w:r w:rsidR="00BE4846" w:rsidRPr="008A403C">
      <w:rPr>
        <w:rFonts w:cs="Arial"/>
        <w:b/>
        <w:sz w:val="18"/>
        <w:szCs w:val="18"/>
      </w:rPr>
      <w:t>de 20</w:t>
    </w:r>
    <w:r w:rsidR="00C31231">
      <w:rPr>
        <w:rFonts w:cs="Arial"/>
        <w:b/>
        <w:sz w:val="18"/>
        <w:szCs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66478" w14:textId="77777777" w:rsidR="00D76CEB" w:rsidRDefault="00D76CEB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</w:p>
  <w:p w14:paraId="3CB9259D" w14:textId="77777777" w:rsidR="00AD0765" w:rsidRPr="008D423C" w:rsidRDefault="00AD0765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694E18">
      <w:rPr>
        <w:rFonts w:cs="Arial"/>
        <w:b/>
        <w:sz w:val="18"/>
        <w:szCs w:val="18"/>
      </w:rPr>
      <w:t>P</w:t>
    </w:r>
    <w:r w:rsidR="00C0457F" w:rsidRPr="00694E18">
      <w:rPr>
        <w:rFonts w:cs="Arial"/>
        <w:b/>
        <w:sz w:val="18"/>
        <w:szCs w:val="18"/>
      </w:rPr>
      <w:t xml:space="preserve">ARTE </w:t>
    </w:r>
    <w:r w:rsidRPr="00694E18">
      <w:rPr>
        <w:rFonts w:cs="Arial"/>
        <w:b/>
        <w:sz w:val="18"/>
        <w:szCs w:val="18"/>
      </w:rPr>
      <w:t>I – TÍTULO V</w:t>
    </w:r>
    <w:r w:rsidR="00C0457F" w:rsidRPr="00694E18">
      <w:rPr>
        <w:rFonts w:cs="Arial"/>
        <w:b/>
        <w:sz w:val="18"/>
        <w:szCs w:val="18"/>
      </w:rPr>
      <w:t xml:space="preserve"> – CAPÍTULO I</w:t>
    </w:r>
    <w:r w:rsidR="003775EF">
      <w:rPr>
        <w:rFonts w:cs="Arial"/>
        <w:b/>
        <w:sz w:val="18"/>
        <w:szCs w:val="18"/>
      </w:rPr>
      <w:t>I</w:t>
    </w:r>
    <w:r w:rsidR="00C0457F" w:rsidRPr="00694E18">
      <w:rPr>
        <w:rFonts w:cs="Arial"/>
        <w:b/>
        <w:sz w:val="18"/>
        <w:szCs w:val="18"/>
      </w:rPr>
      <w:t xml:space="preserve"> </w:t>
    </w:r>
    <w:r w:rsidRPr="008D423C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                                                                                            </w:t>
    </w:r>
    <w:r w:rsidR="00E84E3F">
      <w:rPr>
        <w:rFonts w:cs="Arial"/>
        <w:b/>
        <w:sz w:val="18"/>
        <w:szCs w:val="18"/>
      </w:rPr>
      <w:t xml:space="preserve"> </w:t>
    </w:r>
    <w:r w:rsidRPr="00DD0BD2">
      <w:rPr>
        <w:b/>
        <w:sz w:val="18"/>
        <w:szCs w:val="18"/>
      </w:rPr>
      <w:t>PÁGINA</w:t>
    </w:r>
    <w:r>
      <w:rPr>
        <w:rFonts w:cs="Arial"/>
        <w:b/>
        <w:sz w:val="18"/>
        <w:szCs w:val="18"/>
      </w:rPr>
      <w:t xml:space="preserve">    </w:t>
    </w:r>
    <w:r w:rsidR="00281684" w:rsidRPr="00281684">
      <w:rPr>
        <w:rFonts w:cs="Arial"/>
        <w:b/>
        <w:sz w:val="18"/>
        <w:szCs w:val="18"/>
      </w:rPr>
      <w:fldChar w:fldCharType="begin"/>
    </w:r>
    <w:r w:rsidR="00281684" w:rsidRPr="00281684">
      <w:rPr>
        <w:rFonts w:cs="Arial"/>
        <w:b/>
        <w:sz w:val="18"/>
        <w:szCs w:val="18"/>
      </w:rPr>
      <w:instrText>PAGE   \* MERGEFORMAT</w:instrText>
    </w:r>
    <w:r w:rsidR="00281684" w:rsidRPr="00281684">
      <w:rPr>
        <w:rFonts w:cs="Arial"/>
        <w:b/>
        <w:sz w:val="18"/>
        <w:szCs w:val="18"/>
      </w:rPr>
      <w:fldChar w:fldCharType="separate"/>
    </w:r>
    <w:r w:rsidR="00FA1604" w:rsidRPr="00FA1604">
      <w:rPr>
        <w:rFonts w:cs="Arial"/>
        <w:b/>
        <w:noProof/>
        <w:sz w:val="18"/>
        <w:szCs w:val="18"/>
        <w:lang w:val="es-ES"/>
      </w:rPr>
      <w:t>2</w:t>
    </w:r>
    <w:r w:rsidR="00281684" w:rsidRPr="00281684">
      <w:rPr>
        <w:rFonts w:cs="Arial"/>
        <w:b/>
        <w:sz w:val="18"/>
        <w:szCs w:val="18"/>
      </w:rPr>
      <w:fldChar w:fldCharType="end"/>
    </w:r>
    <w:r>
      <w:rPr>
        <w:rFonts w:cs="Arial"/>
        <w:b/>
        <w:sz w:val="18"/>
        <w:szCs w:val="18"/>
      </w:rPr>
      <w:t xml:space="preserve">                               </w:t>
    </w:r>
  </w:p>
  <w:p w14:paraId="25E4BF98" w14:textId="0F1F6F54" w:rsidR="00FF7958" w:rsidRPr="006D1E1A" w:rsidRDefault="00FF7958" w:rsidP="00FF7958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</w:t>
    </w:r>
    <w:proofErr w:type="gramStart"/>
    <w:r>
      <w:rPr>
        <w:rFonts w:cs="Arial"/>
        <w:b/>
        <w:sz w:val="18"/>
        <w:szCs w:val="18"/>
      </w:rPr>
      <w:t>Externa</w:t>
    </w:r>
    <w:r>
      <w:rPr>
        <w:rFonts w:cs="Arial"/>
        <w:b/>
        <w:szCs w:val="18"/>
      </w:rPr>
      <w:t xml:space="preserve">  </w:t>
    </w:r>
    <w:r w:rsidR="00254E85" w:rsidRPr="00254E85">
      <w:rPr>
        <w:rFonts w:cs="Arial"/>
        <w:b/>
        <w:sz w:val="18"/>
        <w:szCs w:val="18"/>
      </w:rPr>
      <w:t>030</w:t>
    </w:r>
    <w:proofErr w:type="gramEnd"/>
    <w:r>
      <w:rPr>
        <w:rFonts w:cs="Arial"/>
        <w:b/>
        <w:szCs w:val="18"/>
      </w:rPr>
      <w:t xml:space="preserve">  </w:t>
    </w:r>
    <w:r>
      <w:rPr>
        <w:rFonts w:cs="Arial"/>
        <w:b/>
        <w:sz w:val="18"/>
        <w:szCs w:val="18"/>
      </w:rPr>
      <w:t>de 20</w:t>
    </w:r>
    <w:r w:rsidR="00C31231">
      <w:rPr>
        <w:rFonts w:cs="Arial"/>
        <w:b/>
        <w:sz w:val="18"/>
        <w:szCs w:val="18"/>
      </w:rPr>
      <w:t>20</w:t>
    </w:r>
    <w:r w:rsidRPr="006D1E1A">
      <w:rPr>
        <w:rFonts w:cs="Arial"/>
        <w:b/>
        <w:sz w:val="18"/>
        <w:szCs w:val="18"/>
      </w:rPr>
      <w:tab/>
    </w:r>
    <w:r w:rsidRPr="006D1E1A">
      <w:rPr>
        <w:rFonts w:cs="Arial"/>
        <w:b/>
        <w:sz w:val="18"/>
        <w:szCs w:val="18"/>
      </w:rPr>
      <w:tab/>
    </w:r>
    <w:r w:rsidR="00254E85">
      <w:rPr>
        <w:rFonts w:cs="Arial"/>
        <w:b/>
        <w:sz w:val="18"/>
        <w:szCs w:val="18"/>
      </w:rPr>
      <w:t xml:space="preserve">Octubre </w:t>
    </w:r>
    <w:r w:rsidRPr="008A403C">
      <w:rPr>
        <w:rFonts w:cs="Arial"/>
        <w:b/>
        <w:sz w:val="18"/>
        <w:szCs w:val="18"/>
      </w:rPr>
      <w:t>de 20</w:t>
    </w:r>
    <w:r w:rsidR="00C31231">
      <w:rPr>
        <w:rFonts w:cs="Arial"/>
        <w:b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3EDC" w14:textId="77777777" w:rsidR="00BF18F9" w:rsidRDefault="00BF18F9" w:rsidP="006D1E1A">
      <w:r>
        <w:separator/>
      </w:r>
    </w:p>
  </w:footnote>
  <w:footnote w:type="continuationSeparator" w:id="0">
    <w:p w14:paraId="53F092C6" w14:textId="77777777" w:rsidR="00BF18F9" w:rsidRDefault="00BF18F9" w:rsidP="006D1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6BAF7" w14:textId="77777777" w:rsidR="00C2594B" w:rsidRPr="006D1E1A" w:rsidRDefault="00C2594B" w:rsidP="006D1E1A">
    <w:pPr>
      <w:pStyle w:val="Encabezado"/>
      <w:tabs>
        <w:tab w:val="clear" w:pos="8504"/>
        <w:tab w:val="right" w:pos="9356"/>
      </w:tabs>
      <w:ind w:left="0" w:firstLine="0"/>
      <w:jc w:val="center"/>
      <w:rPr>
        <w:rFonts w:cs="Arial"/>
        <w:b/>
      </w:rPr>
    </w:pPr>
    <w:r w:rsidRPr="006D1E1A">
      <w:rPr>
        <w:rFonts w:cs="Arial"/>
        <w:b/>
      </w:rPr>
      <w:t>SUPERINTENDENCIA</w:t>
    </w:r>
    <w:r>
      <w:rPr>
        <w:rFonts w:cs="Arial"/>
        <w:b/>
      </w:rPr>
      <w:t xml:space="preserve"> </w:t>
    </w:r>
    <w:r w:rsidRPr="006D1E1A">
      <w:rPr>
        <w:rFonts w:cs="Arial"/>
        <w:b/>
      </w:rPr>
      <w:t>FINANCIERA</w:t>
    </w:r>
    <w:r>
      <w:rPr>
        <w:rFonts w:cs="Arial"/>
        <w:b/>
      </w:rPr>
      <w:t xml:space="preserve"> </w:t>
    </w:r>
    <w:r w:rsidRPr="006D1E1A">
      <w:rPr>
        <w:rFonts w:cs="Arial"/>
        <w:b/>
      </w:rPr>
      <w:t>DE</w:t>
    </w:r>
    <w:r>
      <w:rPr>
        <w:rFonts w:cs="Arial"/>
        <w:b/>
      </w:rPr>
      <w:t xml:space="preserve"> </w:t>
    </w:r>
    <w:r w:rsidRPr="006D1E1A">
      <w:rPr>
        <w:rFonts w:cs="Arial"/>
        <w:b/>
      </w:rPr>
      <w:t>COLOMBIA</w:t>
    </w:r>
  </w:p>
  <w:p w14:paraId="17DF87C6" w14:textId="77777777" w:rsidR="00C2594B" w:rsidRDefault="00C2594B" w:rsidP="006D1E1A">
    <w:pPr>
      <w:pStyle w:val="Encabezad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1BC1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BFB2EF8"/>
    <w:multiLevelType w:val="hybridMultilevel"/>
    <w:tmpl w:val="3852F8C2"/>
    <w:lvl w:ilvl="0" w:tplc="78C0E582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pStyle w:val="Titulo3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C522D8F"/>
    <w:multiLevelType w:val="hybridMultilevel"/>
    <w:tmpl w:val="7CA8D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C5A4E"/>
    <w:multiLevelType w:val="multilevel"/>
    <w:tmpl w:val="532401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pStyle w:val="Titulo"/>
      <w:lvlText w:val="%1.%2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E1A"/>
    <w:rsid w:val="000008FD"/>
    <w:rsid w:val="000054D2"/>
    <w:rsid w:val="00005D09"/>
    <w:rsid w:val="00007E67"/>
    <w:rsid w:val="00010999"/>
    <w:rsid w:val="00010C02"/>
    <w:rsid w:val="00011DEF"/>
    <w:rsid w:val="0001422D"/>
    <w:rsid w:val="000156E1"/>
    <w:rsid w:val="0001654D"/>
    <w:rsid w:val="00017B79"/>
    <w:rsid w:val="0002061A"/>
    <w:rsid w:val="0002227D"/>
    <w:rsid w:val="000225D1"/>
    <w:rsid w:val="000240AA"/>
    <w:rsid w:val="000258EC"/>
    <w:rsid w:val="00025BFC"/>
    <w:rsid w:val="0003416D"/>
    <w:rsid w:val="000348B1"/>
    <w:rsid w:val="00034919"/>
    <w:rsid w:val="000352E0"/>
    <w:rsid w:val="00035C7B"/>
    <w:rsid w:val="0004117A"/>
    <w:rsid w:val="00041806"/>
    <w:rsid w:val="0004248C"/>
    <w:rsid w:val="00042CAA"/>
    <w:rsid w:val="0004312A"/>
    <w:rsid w:val="00043C74"/>
    <w:rsid w:val="00050D47"/>
    <w:rsid w:val="000510C7"/>
    <w:rsid w:val="000511D9"/>
    <w:rsid w:val="00051C1E"/>
    <w:rsid w:val="00052FC0"/>
    <w:rsid w:val="00055EA7"/>
    <w:rsid w:val="00056A18"/>
    <w:rsid w:val="00056D3B"/>
    <w:rsid w:val="000578B3"/>
    <w:rsid w:val="000600EE"/>
    <w:rsid w:val="00060B30"/>
    <w:rsid w:val="00062B9F"/>
    <w:rsid w:val="00064DC9"/>
    <w:rsid w:val="00064E0D"/>
    <w:rsid w:val="0007096F"/>
    <w:rsid w:val="0007276C"/>
    <w:rsid w:val="000741DF"/>
    <w:rsid w:val="00074376"/>
    <w:rsid w:val="00074874"/>
    <w:rsid w:val="000750B4"/>
    <w:rsid w:val="00075611"/>
    <w:rsid w:val="000758A5"/>
    <w:rsid w:val="00075C00"/>
    <w:rsid w:val="00081CCA"/>
    <w:rsid w:val="000823AF"/>
    <w:rsid w:val="00083655"/>
    <w:rsid w:val="0008393F"/>
    <w:rsid w:val="00083C08"/>
    <w:rsid w:val="00084666"/>
    <w:rsid w:val="00084815"/>
    <w:rsid w:val="00084875"/>
    <w:rsid w:val="00084A67"/>
    <w:rsid w:val="00084CB5"/>
    <w:rsid w:val="00084CF8"/>
    <w:rsid w:val="00095CE4"/>
    <w:rsid w:val="000A08AB"/>
    <w:rsid w:val="000A1204"/>
    <w:rsid w:val="000A260E"/>
    <w:rsid w:val="000A30D8"/>
    <w:rsid w:val="000A4597"/>
    <w:rsid w:val="000A630D"/>
    <w:rsid w:val="000A6E14"/>
    <w:rsid w:val="000B055E"/>
    <w:rsid w:val="000B3EDA"/>
    <w:rsid w:val="000B4BDD"/>
    <w:rsid w:val="000B5EBF"/>
    <w:rsid w:val="000C0C79"/>
    <w:rsid w:val="000C0DB1"/>
    <w:rsid w:val="000C0F8B"/>
    <w:rsid w:val="000C164B"/>
    <w:rsid w:val="000C2096"/>
    <w:rsid w:val="000C232E"/>
    <w:rsid w:val="000C3723"/>
    <w:rsid w:val="000D1C59"/>
    <w:rsid w:val="000D3818"/>
    <w:rsid w:val="000D4C93"/>
    <w:rsid w:val="000D6533"/>
    <w:rsid w:val="000E0625"/>
    <w:rsid w:val="000E344F"/>
    <w:rsid w:val="000E6F9D"/>
    <w:rsid w:val="000E7EB7"/>
    <w:rsid w:val="000F0F12"/>
    <w:rsid w:val="000F48EC"/>
    <w:rsid w:val="000F6910"/>
    <w:rsid w:val="000F7D57"/>
    <w:rsid w:val="00100105"/>
    <w:rsid w:val="001013C0"/>
    <w:rsid w:val="00101B72"/>
    <w:rsid w:val="0010252F"/>
    <w:rsid w:val="00102C1B"/>
    <w:rsid w:val="001107F8"/>
    <w:rsid w:val="0011188F"/>
    <w:rsid w:val="001130D2"/>
    <w:rsid w:val="001135FC"/>
    <w:rsid w:val="001161E5"/>
    <w:rsid w:val="00120565"/>
    <w:rsid w:val="0012070D"/>
    <w:rsid w:val="001214C9"/>
    <w:rsid w:val="00121C58"/>
    <w:rsid w:val="00123BA2"/>
    <w:rsid w:val="001242BA"/>
    <w:rsid w:val="00125255"/>
    <w:rsid w:val="0013761B"/>
    <w:rsid w:val="00137E6E"/>
    <w:rsid w:val="00141B8B"/>
    <w:rsid w:val="0014314C"/>
    <w:rsid w:val="001437E4"/>
    <w:rsid w:val="00145459"/>
    <w:rsid w:val="001467AD"/>
    <w:rsid w:val="00151044"/>
    <w:rsid w:val="00151E9D"/>
    <w:rsid w:val="001526C6"/>
    <w:rsid w:val="0015405C"/>
    <w:rsid w:val="00154B71"/>
    <w:rsid w:val="00154C42"/>
    <w:rsid w:val="00157055"/>
    <w:rsid w:val="00157CBF"/>
    <w:rsid w:val="00160358"/>
    <w:rsid w:val="001641AD"/>
    <w:rsid w:val="001654F3"/>
    <w:rsid w:val="00165DDC"/>
    <w:rsid w:val="00166D78"/>
    <w:rsid w:val="001702CA"/>
    <w:rsid w:val="00170DF0"/>
    <w:rsid w:val="00175425"/>
    <w:rsid w:val="00177215"/>
    <w:rsid w:val="001775B3"/>
    <w:rsid w:val="00182FE1"/>
    <w:rsid w:val="00183193"/>
    <w:rsid w:val="00190DA2"/>
    <w:rsid w:val="00193586"/>
    <w:rsid w:val="0019656E"/>
    <w:rsid w:val="001979DA"/>
    <w:rsid w:val="00197B75"/>
    <w:rsid w:val="00197BB1"/>
    <w:rsid w:val="001A1477"/>
    <w:rsid w:val="001A2DF0"/>
    <w:rsid w:val="001A67B6"/>
    <w:rsid w:val="001B005A"/>
    <w:rsid w:val="001B0E05"/>
    <w:rsid w:val="001B0EA2"/>
    <w:rsid w:val="001B1049"/>
    <w:rsid w:val="001B2D31"/>
    <w:rsid w:val="001B3F42"/>
    <w:rsid w:val="001B482D"/>
    <w:rsid w:val="001B4B87"/>
    <w:rsid w:val="001B6718"/>
    <w:rsid w:val="001B6F6C"/>
    <w:rsid w:val="001C35FC"/>
    <w:rsid w:val="001C3785"/>
    <w:rsid w:val="001C4EA8"/>
    <w:rsid w:val="001C59C2"/>
    <w:rsid w:val="001C60E6"/>
    <w:rsid w:val="001C7C46"/>
    <w:rsid w:val="001D04E5"/>
    <w:rsid w:val="001D2043"/>
    <w:rsid w:val="001D21FB"/>
    <w:rsid w:val="001D28AA"/>
    <w:rsid w:val="001D2B67"/>
    <w:rsid w:val="001D2EB7"/>
    <w:rsid w:val="001D494D"/>
    <w:rsid w:val="001D5722"/>
    <w:rsid w:val="001D71D3"/>
    <w:rsid w:val="001D7249"/>
    <w:rsid w:val="001E0D93"/>
    <w:rsid w:val="001E10B4"/>
    <w:rsid w:val="001E1FC5"/>
    <w:rsid w:val="001E2B79"/>
    <w:rsid w:val="001E3000"/>
    <w:rsid w:val="001E6E3D"/>
    <w:rsid w:val="001E6EE8"/>
    <w:rsid w:val="001E7E85"/>
    <w:rsid w:val="001F1336"/>
    <w:rsid w:val="001F1A18"/>
    <w:rsid w:val="001F36B9"/>
    <w:rsid w:val="001F3BAB"/>
    <w:rsid w:val="001F58C5"/>
    <w:rsid w:val="001F7377"/>
    <w:rsid w:val="00200438"/>
    <w:rsid w:val="00200C5E"/>
    <w:rsid w:val="0020106C"/>
    <w:rsid w:val="0020365A"/>
    <w:rsid w:val="0020619E"/>
    <w:rsid w:val="00206943"/>
    <w:rsid w:val="00206A57"/>
    <w:rsid w:val="00210810"/>
    <w:rsid w:val="00211B0A"/>
    <w:rsid w:val="00211EB0"/>
    <w:rsid w:val="00212745"/>
    <w:rsid w:val="00215F37"/>
    <w:rsid w:val="002167E4"/>
    <w:rsid w:val="00216926"/>
    <w:rsid w:val="00221115"/>
    <w:rsid w:val="002211F2"/>
    <w:rsid w:val="002222D3"/>
    <w:rsid w:val="00224527"/>
    <w:rsid w:val="00226159"/>
    <w:rsid w:val="0022662A"/>
    <w:rsid w:val="00227668"/>
    <w:rsid w:val="00231D19"/>
    <w:rsid w:val="00232571"/>
    <w:rsid w:val="00233719"/>
    <w:rsid w:val="002368F7"/>
    <w:rsid w:val="00237DBC"/>
    <w:rsid w:val="00241B48"/>
    <w:rsid w:val="00243862"/>
    <w:rsid w:val="00243EA6"/>
    <w:rsid w:val="00247C7D"/>
    <w:rsid w:val="00247EB9"/>
    <w:rsid w:val="00250E61"/>
    <w:rsid w:val="002518CA"/>
    <w:rsid w:val="00253E29"/>
    <w:rsid w:val="002548EE"/>
    <w:rsid w:val="00254E85"/>
    <w:rsid w:val="00262CD4"/>
    <w:rsid w:val="00263BDA"/>
    <w:rsid w:val="002641D1"/>
    <w:rsid w:val="0026535E"/>
    <w:rsid w:val="0026763E"/>
    <w:rsid w:val="00271A3F"/>
    <w:rsid w:val="00271B43"/>
    <w:rsid w:val="00271EBC"/>
    <w:rsid w:val="0027339F"/>
    <w:rsid w:val="00273F02"/>
    <w:rsid w:val="00277D7A"/>
    <w:rsid w:val="00280331"/>
    <w:rsid w:val="00281684"/>
    <w:rsid w:val="00281CBE"/>
    <w:rsid w:val="00284960"/>
    <w:rsid w:val="00290BC1"/>
    <w:rsid w:val="00295BE2"/>
    <w:rsid w:val="00295BFE"/>
    <w:rsid w:val="00296A74"/>
    <w:rsid w:val="002A28EA"/>
    <w:rsid w:val="002A2B2B"/>
    <w:rsid w:val="002A38DD"/>
    <w:rsid w:val="002A4D97"/>
    <w:rsid w:val="002A7787"/>
    <w:rsid w:val="002B05F7"/>
    <w:rsid w:val="002B18DE"/>
    <w:rsid w:val="002B3DAC"/>
    <w:rsid w:val="002B46F0"/>
    <w:rsid w:val="002B52CB"/>
    <w:rsid w:val="002B6B22"/>
    <w:rsid w:val="002C1314"/>
    <w:rsid w:val="002C294E"/>
    <w:rsid w:val="002C3B82"/>
    <w:rsid w:val="002C4C4B"/>
    <w:rsid w:val="002C588A"/>
    <w:rsid w:val="002C5C79"/>
    <w:rsid w:val="002C6286"/>
    <w:rsid w:val="002D3ADE"/>
    <w:rsid w:val="002D54A7"/>
    <w:rsid w:val="002D57A4"/>
    <w:rsid w:val="002D5A8B"/>
    <w:rsid w:val="002D62BE"/>
    <w:rsid w:val="002D6DA1"/>
    <w:rsid w:val="002E1520"/>
    <w:rsid w:val="002E210B"/>
    <w:rsid w:val="002E6380"/>
    <w:rsid w:val="002E7A36"/>
    <w:rsid w:val="002F069D"/>
    <w:rsid w:val="002F1AC3"/>
    <w:rsid w:val="002F42DD"/>
    <w:rsid w:val="002F7330"/>
    <w:rsid w:val="0030519A"/>
    <w:rsid w:val="0030523B"/>
    <w:rsid w:val="00306CEC"/>
    <w:rsid w:val="00311DFB"/>
    <w:rsid w:val="0031226D"/>
    <w:rsid w:val="00313FDE"/>
    <w:rsid w:val="00316407"/>
    <w:rsid w:val="00317085"/>
    <w:rsid w:val="00317DFA"/>
    <w:rsid w:val="003211EA"/>
    <w:rsid w:val="00322CB0"/>
    <w:rsid w:val="003272DA"/>
    <w:rsid w:val="003273DD"/>
    <w:rsid w:val="0033379F"/>
    <w:rsid w:val="003357E3"/>
    <w:rsid w:val="00342396"/>
    <w:rsid w:val="00345666"/>
    <w:rsid w:val="00345A5A"/>
    <w:rsid w:val="00346387"/>
    <w:rsid w:val="00347080"/>
    <w:rsid w:val="003470AE"/>
    <w:rsid w:val="00353C48"/>
    <w:rsid w:val="003558EC"/>
    <w:rsid w:val="003573A4"/>
    <w:rsid w:val="003578D1"/>
    <w:rsid w:val="003632EA"/>
    <w:rsid w:val="00364087"/>
    <w:rsid w:val="00366B70"/>
    <w:rsid w:val="00370321"/>
    <w:rsid w:val="00370FE4"/>
    <w:rsid w:val="003717E7"/>
    <w:rsid w:val="00371A14"/>
    <w:rsid w:val="00372EB8"/>
    <w:rsid w:val="003748D8"/>
    <w:rsid w:val="003753FE"/>
    <w:rsid w:val="003775EF"/>
    <w:rsid w:val="00380FCA"/>
    <w:rsid w:val="00381FB0"/>
    <w:rsid w:val="003826AC"/>
    <w:rsid w:val="00385446"/>
    <w:rsid w:val="00386E66"/>
    <w:rsid w:val="003872A5"/>
    <w:rsid w:val="00390FA5"/>
    <w:rsid w:val="00392B94"/>
    <w:rsid w:val="00395022"/>
    <w:rsid w:val="00396550"/>
    <w:rsid w:val="00396B5A"/>
    <w:rsid w:val="00397416"/>
    <w:rsid w:val="003A1021"/>
    <w:rsid w:val="003A188E"/>
    <w:rsid w:val="003A2E4A"/>
    <w:rsid w:val="003A7960"/>
    <w:rsid w:val="003A7A56"/>
    <w:rsid w:val="003B107D"/>
    <w:rsid w:val="003B315F"/>
    <w:rsid w:val="003B6190"/>
    <w:rsid w:val="003C006E"/>
    <w:rsid w:val="003C266F"/>
    <w:rsid w:val="003C4F01"/>
    <w:rsid w:val="003C6959"/>
    <w:rsid w:val="003C7956"/>
    <w:rsid w:val="003D1033"/>
    <w:rsid w:val="003D1FB3"/>
    <w:rsid w:val="003D3DA9"/>
    <w:rsid w:val="003D4860"/>
    <w:rsid w:val="003D531F"/>
    <w:rsid w:val="003D5993"/>
    <w:rsid w:val="003D5E4A"/>
    <w:rsid w:val="003D6E44"/>
    <w:rsid w:val="003E0B41"/>
    <w:rsid w:val="003E2507"/>
    <w:rsid w:val="003E705A"/>
    <w:rsid w:val="003F0B02"/>
    <w:rsid w:val="003F34FC"/>
    <w:rsid w:val="003F5C04"/>
    <w:rsid w:val="003F5C26"/>
    <w:rsid w:val="003F76A1"/>
    <w:rsid w:val="003F7FCE"/>
    <w:rsid w:val="004007E2"/>
    <w:rsid w:val="00401B62"/>
    <w:rsid w:val="00403BE7"/>
    <w:rsid w:val="00406BB3"/>
    <w:rsid w:val="004102C8"/>
    <w:rsid w:val="0041054E"/>
    <w:rsid w:val="00413430"/>
    <w:rsid w:val="004149B9"/>
    <w:rsid w:val="00420C20"/>
    <w:rsid w:val="004236F5"/>
    <w:rsid w:val="004256AD"/>
    <w:rsid w:val="00433856"/>
    <w:rsid w:val="00434357"/>
    <w:rsid w:val="0044008B"/>
    <w:rsid w:val="00445596"/>
    <w:rsid w:val="004458B8"/>
    <w:rsid w:val="00446B42"/>
    <w:rsid w:val="004479E1"/>
    <w:rsid w:val="00451AB3"/>
    <w:rsid w:val="00455C0E"/>
    <w:rsid w:val="00456747"/>
    <w:rsid w:val="004572E1"/>
    <w:rsid w:val="00457FDE"/>
    <w:rsid w:val="00460A6A"/>
    <w:rsid w:val="00464755"/>
    <w:rsid w:val="004662C0"/>
    <w:rsid w:val="00466BE6"/>
    <w:rsid w:val="00470DBE"/>
    <w:rsid w:val="00472468"/>
    <w:rsid w:val="004745E7"/>
    <w:rsid w:val="00476327"/>
    <w:rsid w:val="004813FF"/>
    <w:rsid w:val="0048228D"/>
    <w:rsid w:val="00482537"/>
    <w:rsid w:val="00482B4A"/>
    <w:rsid w:val="00484CC0"/>
    <w:rsid w:val="00485D2C"/>
    <w:rsid w:val="00485DEB"/>
    <w:rsid w:val="004861CE"/>
    <w:rsid w:val="004865BC"/>
    <w:rsid w:val="00486BA8"/>
    <w:rsid w:val="00486BF2"/>
    <w:rsid w:val="004870C2"/>
    <w:rsid w:val="00494693"/>
    <w:rsid w:val="00495489"/>
    <w:rsid w:val="00496D48"/>
    <w:rsid w:val="00497510"/>
    <w:rsid w:val="00497A20"/>
    <w:rsid w:val="004A0DCE"/>
    <w:rsid w:val="004A20DB"/>
    <w:rsid w:val="004A24DA"/>
    <w:rsid w:val="004A3862"/>
    <w:rsid w:val="004A45F5"/>
    <w:rsid w:val="004A75DE"/>
    <w:rsid w:val="004B0BB3"/>
    <w:rsid w:val="004B2823"/>
    <w:rsid w:val="004B34C5"/>
    <w:rsid w:val="004B382C"/>
    <w:rsid w:val="004B3DD6"/>
    <w:rsid w:val="004B4048"/>
    <w:rsid w:val="004B4C55"/>
    <w:rsid w:val="004B4F61"/>
    <w:rsid w:val="004B55FC"/>
    <w:rsid w:val="004B6321"/>
    <w:rsid w:val="004B7FBC"/>
    <w:rsid w:val="004C0FFC"/>
    <w:rsid w:val="004C1FB4"/>
    <w:rsid w:val="004C232F"/>
    <w:rsid w:val="004C3DC4"/>
    <w:rsid w:val="004C3FFA"/>
    <w:rsid w:val="004C40BE"/>
    <w:rsid w:val="004D2B24"/>
    <w:rsid w:val="004D69B0"/>
    <w:rsid w:val="004E007B"/>
    <w:rsid w:val="004E09A0"/>
    <w:rsid w:val="004E09BB"/>
    <w:rsid w:val="004E0A63"/>
    <w:rsid w:val="004E16CF"/>
    <w:rsid w:val="004E2789"/>
    <w:rsid w:val="004E314C"/>
    <w:rsid w:val="004E3974"/>
    <w:rsid w:val="004E4EE6"/>
    <w:rsid w:val="004E74D6"/>
    <w:rsid w:val="004F1BF7"/>
    <w:rsid w:val="004F5366"/>
    <w:rsid w:val="004F5A67"/>
    <w:rsid w:val="004F6042"/>
    <w:rsid w:val="004F652E"/>
    <w:rsid w:val="004F6F33"/>
    <w:rsid w:val="004F7BFE"/>
    <w:rsid w:val="00501B2F"/>
    <w:rsid w:val="00502F7A"/>
    <w:rsid w:val="00503A38"/>
    <w:rsid w:val="005060D1"/>
    <w:rsid w:val="00506262"/>
    <w:rsid w:val="00506BD0"/>
    <w:rsid w:val="00510ABF"/>
    <w:rsid w:val="0051238E"/>
    <w:rsid w:val="0051395C"/>
    <w:rsid w:val="00513C7B"/>
    <w:rsid w:val="00513C8D"/>
    <w:rsid w:val="005162D5"/>
    <w:rsid w:val="00516F54"/>
    <w:rsid w:val="00517CA4"/>
    <w:rsid w:val="00521E66"/>
    <w:rsid w:val="005272CA"/>
    <w:rsid w:val="00531264"/>
    <w:rsid w:val="0053170C"/>
    <w:rsid w:val="00533194"/>
    <w:rsid w:val="00533FD5"/>
    <w:rsid w:val="0053417E"/>
    <w:rsid w:val="00540C4C"/>
    <w:rsid w:val="00543CC2"/>
    <w:rsid w:val="005464E5"/>
    <w:rsid w:val="00546626"/>
    <w:rsid w:val="00547AE9"/>
    <w:rsid w:val="0055099D"/>
    <w:rsid w:val="0055344F"/>
    <w:rsid w:val="00553D78"/>
    <w:rsid w:val="00556BA0"/>
    <w:rsid w:val="00556D25"/>
    <w:rsid w:val="005571D4"/>
    <w:rsid w:val="005603C8"/>
    <w:rsid w:val="00561AA5"/>
    <w:rsid w:val="00566B7F"/>
    <w:rsid w:val="00567F9D"/>
    <w:rsid w:val="0057106D"/>
    <w:rsid w:val="00572A9D"/>
    <w:rsid w:val="0057500F"/>
    <w:rsid w:val="00575704"/>
    <w:rsid w:val="00576377"/>
    <w:rsid w:val="00580C14"/>
    <w:rsid w:val="00580DE5"/>
    <w:rsid w:val="00582AB5"/>
    <w:rsid w:val="0058445A"/>
    <w:rsid w:val="00585175"/>
    <w:rsid w:val="0058565B"/>
    <w:rsid w:val="00586868"/>
    <w:rsid w:val="00587DBC"/>
    <w:rsid w:val="00591D16"/>
    <w:rsid w:val="005927E6"/>
    <w:rsid w:val="00594352"/>
    <w:rsid w:val="00594EEF"/>
    <w:rsid w:val="00595B11"/>
    <w:rsid w:val="00596046"/>
    <w:rsid w:val="005A0D2A"/>
    <w:rsid w:val="005A6602"/>
    <w:rsid w:val="005A6EDC"/>
    <w:rsid w:val="005A6F21"/>
    <w:rsid w:val="005A7AF2"/>
    <w:rsid w:val="005B1C3D"/>
    <w:rsid w:val="005B1FBE"/>
    <w:rsid w:val="005B435C"/>
    <w:rsid w:val="005B665B"/>
    <w:rsid w:val="005B7443"/>
    <w:rsid w:val="005B7FD5"/>
    <w:rsid w:val="005C295E"/>
    <w:rsid w:val="005D07B8"/>
    <w:rsid w:val="005D3193"/>
    <w:rsid w:val="005D65AD"/>
    <w:rsid w:val="005E02E9"/>
    <w:rsid w:val="005E2A84"/>
    <w:rsid w:val="005E5766"/>
    <w:rsid w:val="005E5DE4"/>
    <w:rsid w:val="005E5E10"/>
    <w:rsid w:val="005E6580"/>
    <w:rsid w:val="005E6913"/>
    <w:rsid w:val="005E7B61"/>
    <w:rsid w:val="005F15E3"/>
    <w:rsid w:val="005F36C0"/>
    <w:rsid w:val="005F39EA"/>
    <w:rsid w:val="005F557D"/>
    <w:rsid w:val="0060203A"/>
    <w:rsid w:val="00602169"/>
    <w:rsid w:val="006033C3"/>
    <w:rsid w:val="00603F0C"/>
    <w:rsid w:val="00605613"/>
    <w:rsid w:val="00606AC5"/>
    <w:rsid w:val="006079C8"/>
    <w:rsid w:val="00610179"/>
    <w:rsid w:val="00615884"/>
    <w:rsid w:val="00617007"/>
    <w:rsid w:val="00620D56"/>
    <w:rsid w:val="00621507"/>
    <w:rsid w:val="00624DCE"/>
    <w:rsid w:val="0063216E"/>
    <w:rsid w:val="00633CBC"/>
    <w:rsid w:val="00640C52"/>
    <w:rsid w:val="00644104"/>
    <w:rsid w:val="00644EF5"/>
    <w:rsid w:val="0064515A"/>
    <w:rsid w:val="0064640F"/>
    <w:rsid w:val="006466A7"/>
    <w:rsid w:val="00647DA8"/>
    <w:rsid w:val="00650AB8"/>
    <w:rsid w:val="00651DC8"/>
    <w:rsid w:val="0065758A"/>
    <w:rsid w:val="00660F91"/>
    <w:rsid w:val="00661B27"/>
    <w:rsid w:val="006639C2"/>
    <w:rsid w:val="006646AB"/>
    <w:rsid w:val="00666902"/>
    <w:rsid w:val="00672AF6"/>
    <w:rsid w:val="00673DD6"/>
    <w:rsid w:val="00681168"/>
    <w:rsid w:val="00681648"/>
    <w:rsid w:val="0068178D"/>
    <w:rsid w:val="006820D4"/>
    <w:rsid w:val="006831AC"/>
    <w:rsid w:val="00683CC5"/>
    <w:rsid w:val="00686591"/>
    <w:rsid w:val="00686957"/>
    <w:rsid w:val="00694E18"/>
    <w:rsid w:val="00695526"/>
    <w:rsid w:val="006A02BB"/>
    <w:rsid w:val="006A0869"/>
    <w:rsid w:val="006A12B7"/>
    <w:rsid w:val="006A2629"/>
    <w:rsid w:val="006A318B"/>
    <w:rsid w:val="006A5226"/>
    <w:rsid w:val="006A5325"/>
    <w:rsid w:val="006A7DCA"/>
    <w:rsid w:val="006A7E45"/>
    <w:rsid w:val="006B402E"/>
    <w:rsid w:val="006B6864"/>
    <w:rsid w:val="006C0F42"/>
    <w:rsid w:val="006C23F3"/>
    <w:rsid w:val="006C2FFE"/>
    <w:rsid w:val="006C6345"/>
    <w:rsid w:val="006C6749"/>
    <w:rsid w:val="006D1E1A"/>
    <w:rsid w:val="006D24DF"/>
    <w:rsid w:val="006D32A5"/>
    <w:rsid w:val="006D3710"/>
    <w:rsid w:val="006D3F07"/>
    <w:rsid w:val="006D64A8"/>
    <w:rsid w:val="006D6B51"/>
    <w:rsid w:val="006D6CD5"/>
    <w:rsid w:val="006E00D4"/>
    <w:rsid w:val="006E0690"/>
    <w:rsid w:val="006E06E5"/>
    <w:rsid w:val="006E0C58"/>
    <w:rsid w:val="006E0F08"/>
    <w:rsid w:val="006E46AE"/>
    <w:rsid w:val="006E57E9"/>
    <w:rsid w:val="006E59AD"/>
    <w:rsid w:val="006E6467"/>
    <w:rsid w:val="006E7891"/>
    <w:rsid w:val="006E7B99"/>
    <w:rsid w:val="006F006C"/>
    <w:rsid w:val="006F0F55"/>
    <w:rsid w:val="006F247D"/>
    <w:rsid w:val="006F2490"/>
    <w:rsid w:val="006F347E"/>
    <w:rsid w:val="006F51BF"/>
    <w:rsid w:val="006F5493"/>
    <w:rsid w:val="006F6643"/>
    <w:rsid w:val="006F6D90"/>
    <w:rsid w:val="006F7361"/>
    <w:rsid w:val="00700606"/>
    <w:rsid w:val="00702237"/>
    <w:rsid w:val="00706FD5"/>
    <w:rsid w:val="00707E25"/>
    <w:rsid w:val="00711005"/>
    <w:rsid w:val="007114AE"/>
    <w:rsid w:val="00711505"/>
    <w:rsid w:val="00712816"/>
    <w:rsid w:val="007131E4"/>
    <w:rsid w:val="0071385E"/>
    <w:rsid w:val="00713C97"/>
    <w:rsid w:val="00713DB3"/>
    <w:rsid w:val="00714FB8"/>
    <w:rsid w:val="007152E2"/>
    <w:rsid w:val="00716D5B"/>
    <w:rsid w:val="007174E5"/>
    <w:rsid w:val="007175D5"/>
    <w:rsid w:val="00717E33"/>
    <w:rsid w:val="00721CBE"/>
    <w:rsid w:val="00723156"/>
    <w:rsid w:val="00723D7A"/>
    <w:rsid w:val="00725896"/>
    <w:rsid w:val="00727084"/>
    <w:rsid w:val="0073124E"/>
    <w:rsid w:val="0073236D"/>
    <w:rsid w:val="00734015"/>
    <w:rsid w:val="00735BFA"/>
    <w:rsid w:val="00737E87"/>
    <w:rsid w:val="00742D19"/>
    <w:rsid w:val="007435E7"/>
    <w:rsid w:val="0074400E"/>
    <w:rsid w:val="007449DE"/>
    <w:rsid w:val="00744E42"/>
    <w:rsid w:val="0074647B"/>
    <w:rsid w:val="00750295"/>
    <w:rsid w:val="00752549"/>
    <w:rsid w:val="00752E54"/>
    <w:rsid w:val="00753AEE"/>
    <w:rsid w:val="00754293"/>
    <w:rsid w:val="00756341"/>
    <w:rsid w:val="00757080"/>
    <w:rsid w:val="0076367C"/>
    <w:rsid w:val="00765692"/>
    <w:rsid w:val="00767EEE"/>
    <w:rsid w:val="0077045B"/>
    <w:rsid w:val="007764E0"/>
    <w:rsid w:val="00783445"/>
    <w:rsid w:val="00783FA7"/>
    <w:rsid w:val="00785E53"/>
    <w:rsid w:val="00787E51"/>
    <w:rsid w:val="0079044B"/>
    <w:rsid w:val="00790CF1"/>
    <w:rsid w:val="00791277"/>
    <w:rsid w:val="007916B5"/>
    <w:rsid w:val="00791C85"/>
    <w:rsid w:val="00792671"/>
    <w:rsid w:val="007959AA"/>
    <w:rsid w:val="0079718B"/>
    <w:rsid w:val="007A3555"/>
    <w:rsid w:val="007A374F"/>
    <w:rsid w:val="007A4162"/>
    <w:rsid w:val="007A57F3"/>
    <w:rsid w:val="007A6F21"/>
    <w:rsid w:val="007B22A9"/>
    <w:rsid w:val="007B280D"/>
    <w:rsid w:val="007B29FF"/>
    <w:rsid w:val="007B3A73"/>
    <w:rsid w:val="007B5F1F"/>
    <w:rsid w:val="007B68B0"/>
    <w:rsid w:val="007C1AD6"/>
    <w:rsid w:val="007C3D6A"/>
    <w:rsid w:val="007C4FA2"/>
    <w:rsid w:val="007C50C1"/>
    <w:rsid w:val="007C71E2"/>
    <w:rsid w:val="007C7F4D"/>
    <w:rsid w:val="007D0F6F"/>
    <w:rsid w:val="007D47FB"/>
    <w:rsid w:val="007D5824"/>
    <w:rsid w:val="007D6D3E"/>
    <w:rsid w:val="007E0115"/>
    <w:rsid w:val="007E0AC9"/>
    <w:rsid w:val="007E0BF7"/>
    <w:rsid w:val="007E113C"/>
    <w:rsid w:val="007E7FC7"/>
    <w:rsid w:val="007F3C69"/>
    <w:rsid w:val="00801F6E"/>
    <w:rsid w:val="008046CB"/>
    <w:rsid w:val="00804D89"/>
    <w:rsid w:val="00813007"/>
    <w:rsid w:val="00814C7B"/>
    <w:rsid w:val="008159CD"/>
    <w:rsid w:val="00816CDC"/>
    <w:rsid w:val="0082200A"/>
    <w:rsid w:val="0082266F"/>
    <w:rsid w:val="00823614"/>
    <w:rsid w:val="00825F3E"/>
    <w:rsid w:val="00826A57"/>
    <w:rsid w:val="008321CE"/>
    <w:rsid w:val="0083318E"/>
    <w:rsid w:val="00837401"/>
    <w:rsid w:val="00843E80"/>
    <w:rsid w:val="00844B86"/>
    <w:rsid w:val="00845598"/>
    <w:rsid w:val="00847523"/>
    <w:rsid w:val="0085150E"/>
    <w:rsid w:val="008534C8"/>
    <w:rsid w:val="00855E09"/>
    <w:rsid w:val="00860BA8"/>
    <w:rsid w:val="00863919"/>
    <w:rsid w:val="00864CDA"/>
    <w:rsid w:val="008760FE"/>
    <w:rsid w:val="008761ED"/>
    <w:rsid w:val="008831B7"/>
    <w:rsid w:val="00884CD5"/>
    <w:rsid w:val="00886AA3"/>
    <w:rsid w:val="008870E5"/>
    <w:rsid w:val="00887B4E"/>
    <w:rsid w:val="00890D3C"/>
    <w:rsid w:val="008930F1"/>
    <w:rsid w:val="008946BA"/>
    <w:rsid w:val="008957A7"/>
    <w:rsid w:val="00895B71"/>
    <w:rsid w:val="00896DF1"/>
    <w:rsid w:val="00897D48"/>
    <w:rsid w:val="008A3170"/>
    <w:rsid w:val="008A403C"/>
    <w:rsid w:val="008A6B6A"/>
    <w:rsid w:val="008B0941"/>
    <w:rsid w:val="008B1182"/>
    <w:rsid w:val="008B215B"/>
    <w:rsid w:val="008B308E"/>
    <w:rsid w:val="008B5C81"/>
    <w:rsid w:val="008B7CB2"/>
    <w:rsid w:val="008C44AC"/>
    <w:rsid w:val="008C5A1C"/>
    <w:rsid w:val="008C78FC"/>
    <w:rsid w:val="008D1975"/>
    <w:rsid w:val="008D430F"/>
    <w:rsid w:val="008D53DA"/>
    <w:rsid w:val="008E0A45"/>
    <w:rsid w:val="008E136E"/>
    <w:rsid w:val="008E1DBB"/>
    <w:rsid w:val="008E5FC1"/>
    <w:rsid w:val="008F28A9"/>
    <w:rsid w:val="008F4970"/>
    <w:rsid w:val="008F5C8D"/>
    <w:rsid w:val="00900321"/>
    <w:rsid w:val="0090258D"/>
    <w:rsid w:val="00903554"/>
    <w:rsid w:val="009036C0"/>
    <w:rsid w:val="00906679"/>
    <w:rsid w:val="00910248"/>
    <w:rsid w:val="0091057F"/>
    <w:rsid w:val="00910969"/>
    <w:rsid w:val="00913572"/>
    <w:rsid w:val="009137EE"/>
    <w:rsid w:val="0091402C"/>
    <w:rsid w:val="00914518"/>
    <w:rsid w:val="009147A6"/>
    <w:rsid w:val="00915190"/>
    <w:rsid w:val="00917982"/>
    <w:rsid w:val="00921488"/>
    <w:rsid w:val="009217FD"/>
    <w:rsid w:val="00923EEF"/>
    <w:rsid w:val="00925FBD"/>
    <w:rsid w:val="009264B6"/>
    <w:rsid w:val="00927B3E"/>
    <w:rsid w:val="00927B60"/>
    <w:rsid w:val="00930144"/>
    <w:rsid w:val="009319CD"/>
    <w:rsid w:val="00933260"/>
    <w:rsid w:val="009432B0"/>
    <w:rsid w:val="00943CBA"/>
    <w:rsid w:val="009442DC"/>
    <w:rsid w:val="00945E04"/>
    <w:rsid w:val="009469D3"/>
    <w:rsid w:val="00951606"/>
    <w:rsid w:val="0096338A"/>
    <w:rsid w:val="00964560"/>
    <w:rsid w:val="00965D74"/>
    <w:rsid w:val="00965E86"/>
    <w:rsid w:val="009669C4"/>
    <w:rsid w:val="00966C47"/>
    <w:rsid w:val="00971893"/>
    <w:rsid w:val="00971F61"/>
    <w:rsid w:val="009766A6"/>
    <w:rsid w:val="009814F5"/>
    <w:rsid w:val="009828F0"/>
    <w:rsid w:val="00982DFD"/>
    <w:rsid w:val="009837C1"/>
    <w:rsid w:val="00984055"/>
    <w:rsid w:val="0098479D"/>
    <w:rsid w:val="00984E41"/>
    <w:rsid w:val="009859AB"/>
    <w:rsid w:val="00985F71"/>
    <w:rsid w:val="00986350"/>
    <w:rsid w:val="00986D32"/>
    <w:rsid w:val="0099203D"/>
    <w:rsid w:val="0099483B"/>
    <w:rsid w:val="009957D0"/>
    <w:rsid w:val="00995F32"/>
    <w:rsid w:val="00996100"/>
    <w:rsid w:val="009968FA"/>
    <w:rsid w:val="0099775F"/>
    <w:rsid w:val="009A0F9C"/>
    <w:rsid w:val="009A2C24"/>
    <w:rsid w:val="009A3C36"/>
    <w:rsid w:val="009A6296"/>
    <w:rsid w:val="009B4928"/>
    <w:rsid w:val="009B546D"/>
    <w:rsid w:val="009B7525"/>
    <w:rsid w:val="009C0343"/>
    <w:rsid w:val="009C127C"/>
    <w:rsid w:val="009C27B5"/>
    <w:rsid w:val="009C3E85"/>
    <w:rsid w:val="009C3EB6"/>
    <w:rsid w:val="009C46F4"/>
    <w:rsid w:val="009C5A30"/>
    <w:rsid w:val="009C6E7F"/>
    <w:rsid w:val="009D00B6"/>
    <w:rsid w:val="009D260D"/>
    <w:rsid w:val="009D3A1F"/>
    <w:rsid w:val="009D4CFB"/>
    <w:rsid w:val="009D58E3"/>
    <w:rsid w:val="009D6029"/>
    <w:rsid w:val="009D7B3D"/>
    <w:rsid w:val="009E0A08"/>
    <w:rsid w:val="009E2AA2"/>
    <w:rsid w:val="009F2937"/>
    <w:rsid w:val="009F53FA"/>
    <w:rsid w:val="009F60DC"/>
    <w:rsid w:val="00A00A2D"/>
    <w:rsid w:val="00A02AAA"/>
    <w:rsid w:val="00A0452C"/>
    <w:rsid w:val="00A105F3"/>
    <w:rsid w:val="00A10F1C"/>
    <w:rsid w:val="00A11134"/>
    <w:rsid w:val="00A1127C"/>
    <w:rsid w:val="00A118BE"/>
    <w:rsid w:val="00A11ACA"/>
    <w:rsid w:val="00A237E6"/>
    <w:rsid w:val="00A239DA"/>
    <w:rsid w:val="00A33408"/>
    <w:rsid w:val="00A34793"/>
    <w:rsid w:val="00A348B7"/>
    <w:rsid w:val="00A3671F"/>
    <w:rsid w:val="00A4207C"/>
    <w:rsid w:val="00A440A1"/>
    <w:rsid w:val="00A47C9B"/>
    <w:rsid w:val="00A51D40"/>
    <w:rsid w:val="00A55B7A"/>
    <w:rsid w:val="00A5608A"/>
    <w:rsid w:val="00A564C6"/>
    <w:rsid w:val="00A61FDA"/>
    <w:rsid w:val="00A63A55"/>
    <w:rsid w:val="00A65F6C"/>
    <w:rsid w:val="00A66D29"/>
    <w:rsid w:val="00A67B8D"/>
    <w:rsid w:val="00A713DD"/>
    <w:rsid w:val="00A72817"/>
    <w:rsid w:val="00A73999"/>
    <w:rsid w:val="00A74171"/>
    <w:rsid w:val="00A75F47"/>
    <w:rsid w:val="00A807BC"/>
    <w:rsid w:val="00A90D33"/>
    <w:rsid w:val="00A912FC"/>
    <w:rsid w:val="00A9174D"/>
    <w:rsid w:val="00A96905"/>
    <w:rsid w:val="00AA1562"/>
    <w:rsid w:val="00AA15F2"/>
    <w:rsid w:val="00AA1682"/>
    <w:rsid w:val="00AA2EF6"/>
    <w:rsid w:val="00AA6589"/>
    <w:rsid w:val="00AA7474"/>
    <w:rsid w:val="00AA7479"/>
    <w:rsid w:val="00AB1264"/>
    <w:rsid w:val="00AB1B85"/>
    <w:rsid w:val="00AB294D"/>
    <w:rsid w:val="00AB4D3F"/>
    <w:rsid w:val="00AB6912"/>
    <w:rsid w:val="00AC3A5E"/>
    <w:rsid w:val="00AC5783"/>
    <w:rsid w:val="00AC6673"/>
    <w:rsid w:val="00AC67B7"/>
    <w:rsid w:val="00AC74AD"/>
    <w:rsid w:val="00AD0765"/>
    <w:rsid w:val="00AD4C8F"/>
    <w:rsid w:val="00AD5AD5"/>
    <w:rsid w:val="00AE07A3"/>
    <w:rsid w:val="00AE131D"/>
    <w:rsid w:val="00AE3416"/>
    <w:rsid w:val="00AE3EDB"/>
    <w:rsid w:val="00AE45C3"/>
    <w:rsid w:val="00AE4C5D"/>
    <w:rsid w:val="00AE5585"/>
    <w:rsid w:val="00AE5A5E"/>
    <w:rsid w:val="00AE5C47"/>
    <w:rsid w:val="00AE64F2"/>
    <w:rsid w:val="00AE71B6"/>
    <w:rsid w:val="00AE7247"/>
    <w:rsid w:val="00AE746E"/>
    <w:rsid w:val="00AF625C"/>
    <w:rsid w:val="00AF6B03"/>
    <w:rsid w:val="00B002BF"/>
    <w:rsid w:val="00B02017"/>
    <w:rsid w:val="00B04666"/>
    <w:rsid w:val="00B0612A"/>
    <w:rsid w:val="00B1403D"/>
    <w:rsid w:val="00B159C6"/>
    <w:rsid w:val="00B16B97"/>
    <w:rsid w:val="00B1777D"/>
    <w:rsid w:val="00B204D1"/>
    <w:rsid w:val="00B2052D"/>
    <w:rsid w:val="00B23ADC"/>
    <w:rsid w:val="00B24575"/>
    <w:rsid w:val="00B2516B"/>
    <w:rsid w:val="00B2706E"/>
    <w:rsid w:val="00B304C2"/>
    <w:rsid w:val="00B3101B"/>
    <w:rsid w:val="00B331A1"/>
    <w:rsid w:val="00B3494C"/>
    <w:rsid w:val="00B35333"/>
    <w:rsid w:val="00B367DC"/>
    <w:rsid w:val="00B37B7A"/>
    <w:rsid w:val="00B41C00"/>
    <w:rsid w:val="00B43BED"/>
    <w:rsid w:val="00B44296"/>
    <w:rsid w:val="00B4431A"/>
    <w:rsid w:val="00B4496B"/>
    <w:rsid w:val="00B46C42"/>
    <w:rsid w:val="00B50A9F"/>
    <w:rsid w:val="00B52582"/>
    <w:rsid w:val="00B54A49"/>
    <w:rsid w:val="00B5614B"/>
    <w:rsid w:val="00B6097D"/>
    <w:rsid w:val="00B62125"/>
    <w:rsid w:val="00B6258B"/>
    <w:rsid w:val="00B62648"/>
    <w:rsid w:val="00B6342F"/>
    <w:rsid w:val="00B63F67"/>
    <w:rsid w:val="00B70325"/>
    <w:rsid w:val="00B7143B"/>
    <w:rsid w:val="00B71D22"/>
    <w:rsid w:val="00B72EA4"/>
    <w:rsid w:val="00B73BB2"/>
    <w:rsid w:val="00B75233"/>
    <w:rsid w:val="00B760C7"/>
    <w:rsid w:val="00B8464D"/>
    <w:rsid w:val="00B850D3"/>
    <w:rsid w:val="00B856AC"/>
    <w:rsid w:val="00B858C5"/>
    <w:rsid w:val="00B85C58"/>
    <w:rsid w:val="00B87B1A"/>
    <w:rsid w:val="00B93C97"/>
    <w:rsid w:val="00B94C2C"/>
    <w:rsid w:val="00B95D32"/>
    <w:rsid w:val="00B975A4"/>
    <w:rsid w:val="00BA56F1"/>
    <w:rsid w:val="00BA6DDD"/>
    <w:rsid w:val="00BA6EF2"/>
    <w:rsid w:val="00BB0455"/>
    <w:rsid w:val="00BB13F9"/>
    <w:rsid w:val="00BB2A0D"/>
    <w:rsid w:val="00BB443E"/>
    <w:rsid w:val="00BB4773"/>
    <w:rsid w:val="00BB5F32"/>
    <w:rsid w:val="00BB657A"/>
    <w:rsid w:val="00BB7308"/>
    <w:rsid w:val="00BC0D4B"/>
    <w:rsid w:val="00BC1DAB"/>
    <w:rsid w:val="00BC25FC"/>
    <w:rsid w:val="00BC4067"/>
    <w:rsid w:val="00BC679A"/>
    <w:rsid w:val="00BD06C5"/>
    <w:rsid w:val="00BD4DB4"/>
    <w:rsid w:val="00BD596C"/>
    <w:rsid w:val="00BD64AC"/>
    <w:rsid w:val="00BD7E3D"/>
    <w:rsid w:val="00BE1531"/>
    <w:rsid w:val="00BE1F91"/>
    <w:rsid w:val="00BE2CF3"/>
    <w:rsid w:val="00BE2F39"/>
    <w:rsid w:val="00BE36BC"/>
    <w:rsid w:val="00BE4846"/>
    <w:rsid w:val="00BE68E9"/>
    <w:rsid w:val="00BE69D8"/>
    <w:rsid w:val="00BE7130"/>
    <w:rsid w:val="00BF18F9"/>
    <w:rsid w:val="00BF2840"/>
    <w:rsid w:val="00BF691D"/>
    <w:rsid w:val="00C0027B"/>
    <w:rsid w:val="00C00E9C"/>
    <w:rsid w:val="00C02521"/>
    <w:rsid w:val="00C038CC"/>
    <w:rsid w:val="00C0457F"/>
    <w:rsid w:val="00C061D3"/>
    <w:rsid w:val="00C1306B"/>
    <w:rsid w:val="00C138C5"/>
    <w:rsid w:val="00C139CD"/>
    <w:rsid w:val="00C216CA"/>
    <w:rsid w:val="00C23167"/>
    <w:rsid w:val="00C2527B"/>
    <w:rsid w:val="00C2594B"/>
    <w:rsid w:val="00C25C75"/>
    <w:rsid w:val="00C26456"/>
    <w:rsid w:val="00C31231"/>
    <w:rsid w:val="00C319C2"/>
    <w:rsid w:val="00C3216D"/>
    <w:rsid w:val="00C331D0"/>
    <w:rsid w:val="00C33632"/>
    <w:rsid w:val="00C3469C"/>
    <w:rsid w:val="00C40255"/>
    <w:rsid w:val="00C439A5"/>
    <w:rsid w:val="00C45082"/>
    <w:rsid w:val="00C4766B"/>
    <w:rsid w:val="00C50C6D"/>
    <w:rsid w:val="00C51957"/>
    <w:rsid w:val="00C5339C"/>
    <w:rsid w:val="00C53BAB"/>
    <w:rsid w:val="00C6028B"/>
    <w:rsid w:val="00C617D8"/>
    <w:rsid w:val="00C635AA"/>
    <w:rsid w:val="00C64735"/>
    <w:rsid w:val="00C70289"/>
    <w:rsid w:val="00C70972"/>
    <w:rsid w:val="00C71610"/>
    <w:rsid w:val="00C71A7C"/>
    <w:rsid w:val="00C80AFA"/>
    <w:rsid w:val="00C816A3"/>
    <w:rsid w:val="00C8283E"/>
    <w:rsid w:val="00C839B9"/>
    <w:rsid w:val="00C84440"/>
    <w:rsid w:val="00C856A9"/>
    <w:rsid w:val="00C86873"/>
    <w:rsid w:val="00C86D5E"/>
    <w:rsid w:val="00C92652"/>
    <w:rsid w:val="00C92D4E"/>
    <w:rsid w:val="00C97549"/>
    <w:rsid w:val="00C97CE3"/>
    <w:rsid w:val="00CA11A1"/>
    <w:rsid w:val="00CA26D2"/>
    <w:rsid w:val="00CA29EB"/>
    <w:rsid w:val="00CA2BA4"/>
    <w:rsid w:val="00CA5A56"/>
    <w:rsid w:val="00CA5FDF"/>
    <w:rsid w:val="00CB027F"/>
    <w:rsid w:val="00CB04DF"/>
    <w:rsid w:val="00CB129A"/>
    <w:rsid w:val="00CB1623"/>
    <w:rsid w:val="00CB23DC"/>
    <w:rsid w:val="00CB6EAC"/>
    <w:rsid w:val="00CB753D"/>
    <w:rsid w:val="00CC0EC8"/>
    <w:rsid w:val="00CC1B58"/>
    <w:rsid w:val="00CC35C4"/>
    <w:rsid w:val="00CD25B7"/>
    <w:rsid w:val="00CD3393"/>
    <w:rsid w:val="00CD790F"/>
    <w:rsid w:val="00CE0AE8"/>
    <w:rsid w:val="00CE1679"/>
    <w:rsid w:val="00CE2F35"/>
    <w:rsid w:val="00CE4D72"/>
    <w:rsid w:val="00CE4F89"/>
    <w:rsid w:val="00CF1EC5"/>
    <w:rsid w:val="00D00D68"/>
    <w:rsid w:val="00D0153F"/>
    <w:rsid w:val="00D02022"/>
    <w:rsid w:val="00D02E8F"/>
    <w:rsid w:val="00D03ABB"/>
    <w:rsid w:val="00D04717"/>
    <w:rsid w:val="00D048E7"/>
    <w:rsid w:val="00D05D03"/>
    <w:rsid w:val="00D05FFB"/>
    <w:rsid w:val="00D066E0"/>
    <w:rsid w:val="00D0721D"/>
    <w:rsid w:val="00D10576"/>
    <w:rsid w:val="00D11995"/>
    <w:rsid w:val="00D13562"/>
    <w:rsid w:val="00D147DD"/>
    <w:rsid w:val="00D2085D"/>
    <w:rsid w:val="00D20F8C"/>
    <w:rsid w:val="00D21DAA"/>
    <w:rsid w:val="00D231A8"/>
    <w:rsid w:val="00D25F04"/>
    <w:rsid w:val="00D2675A"/>
    <w:rsid w:val="00D33470"/>
    <w:rsid w:val="00D336C4"/>
    <w:rsid w:val="00D34323"/>
    <w:rsid w:val="00D343E7"/>
    <w:rsid w:val="00D3557F"/>
    <w:rsid w:val="00D356B9"/>
    <w:rsid w:val="00D357D3"/>
    <w:rsid w:val="00D358D0"/>
    <w:rsid w:val="00D36447"/>
    <w:rsid w:val="00D37616"/>
    <w:rsid w:val="00D42207"/>
    <w:rsid w:val="00D4314C"/>
    <w:rsid w:val="00D438C0"/>
    <w:rsid w:val="00D43B67"/>
    <w:rsid w:val="00D442D9"/>
    <w:rsid w:val="00D512FC"/>
    <w:rsid w:val="00D51AA1"/>
    <w:rsid w:val="00D51D78"/>
    <w:rsid w:val="00D53561"/>
    <w:rsid w:val="00D54D27"/>
    <w:rsid w:val="00D5504C"/>
    <w:rsid w:val="00D55F77"/>
    <w:rsid w:val="00D56279"/>
    <w:rsid w:val="00D567DB"/>
    <w:rsid w:val="00D61850"/>
    <w:rsid w:val="00D61F94"/>
    <w:rsid w:val="00D620F6"/>
    <w:rsid w:val="00D62163"/>
    <w:rsid w:val="00D6506E"/>
    <w:rsid w:val="00D67717"/>
    <w:rsid w:val="00D6797F"/>
    <w:rsid w:val="00D71669"/>
    <w:rsid w:val="00D71E4C"/>
    <w:rsid w:val="00D73E88"/>
    <w:rsid w:val="00D76CEB"/>
    <w:rsid w:val="00D77F72"/>
    <w:rsid w:val="00D8165D"/>
    <w:rsid w:val="00D826AA"/>
    <w:rsid w:val="00D82B13"/>
    <w:rsid w:val="00D84792"/>
    <w:rsid w:val="00D863FC"/>
    <w:rsid w:val="00D86688"/>
    <w:rsid w:val="00D866FA"/>
    <w:rsid w:val="00D90A70"/>
    <w:rsid w:val="00D9517B"/>
    <w:rsid w:val="00D95317"/>
    <w:rsid w:val="00D95B45"/>
    <w:rsid w:val="00D95E87"/>
    <w:rsid w:val="00D9660B"/>
    <w:rsid w:val="00D97398"/>
    <w:rsid w:val="00DA00CC"/>
    <w:rsid w:val="00DA2680"/>
    <w:rsid w:val="00DA5321"/>
    <w:rsid w:val="00DB1889"/>
    <w:rsid w:val="00DB4D9C"/>
    <w:rsid w:val="00DB5310"/>
    <w:rsid w:val="00DB7C5F"/>
    <w:rsid w:val="00DC2C9D"/>
    <w:rsid w:val="00DC5638"/>
    <w:rsid w:val="00DC6F1E"/>
    <w:rsid w:val="00DD1747"/>
    <w:rsid w:val="00DD2149"/>
    <w:rsid w:val="00DD2D0C"/>
    <w:rsid w:val="00DD56E3"/>
    <w:rsid w:val="00DD61C0"/>
    <w:rsid w:val="00DD7A05"/>
    <w:rsid w:val="00DE3212"/>
    <w:rsid w:val="00DE3693"/>
    <w:rsid w:val="00DE3F02"/>
    <w:rsid w:val="00DE57B4"/>
    <w:rsid w:val="00DE5BA4"/>
    <w:rsid w:val="00DE6C12"/>
    <w:rsid w:val="00DE7784"/>
    <w:rsid w:val="00DE7E54"/>
    <w:rsid w:val="00DF0FD2"/>
    <w:rsid w:val="00DF2525"/>
    <w:rsid w:val="00DF3DA0"/>
    <w:rsid w:val="00E0021B"/>
    <w:rsid w:val="00E00A38"/>
    <w:rsid w:val="00E02469"/>
    <w:rsid w:val="00E02BDB"/>
    <w:rsid w:val="00E03CBA"/>
    <w:rsid w:val="00E03E9B"/>
    <w:rsid w:val="00E03FB0"/>
    <w:rsid w:val="00E04811"/>
    <w:rsid w:val="00E11CDA"/>
    <w:rsid w:val="00E1495C"/>
    <w:rsid w:val="00E15065"/>
    <w:rsid w:val="00E17331"/>
    <w:rsid w:val="00E22F48"/>
    <w:rsid w:val="00E24C2C"/>
    <w:rsid w:val="00E25885"/>
    <w:rsid w:val="00E2606E"/>
    <w:rsid w:val="00E2775D"/>
    <w:rsid w:val="00E27E93"/>
    <w:rsid w:val="00E311AC"/>
    <w:rsid w:val="00E31DE4"/>
    <w:rsid w:val="00E32507"/>
    <w:rsid w:val="00E326F8"/>
    <w:rsid w:val="00E32D3C"/>
    <w:rsid w:val="00E41040"/>
    <w:rsid w:val="00E43FAC"/>
    <w:rsid w:val="00E45E4B"/>
    <w:rsid w:val="00E45E85"/>
    <w:rsid w:val="00E47384"/>
    <w:rsid w:val="00E50171"/>
    <w:rsid w:val="00E508DB"/>
    <w:rsid w:val="00E51135"/>
    <w:rsid w:val="00E517C4"/>
    <w:rsid w:val="00E52E33"/>
    <w:rsid w:val="00E54208"/>
    <w:rsid w:val="00E548F7"/>
    <w:rsid w:val="00E55446"/>
    <w:rsid w:val="00E608B4"/>
    <w:rsid w:val="00E61657"/>
    <w:rsid w:val="00E62F5B"/>
    <w:rsid w:val="00E63D9B"/>
    <w:rsid w:val="00E666CB"/>
    <w:rsid w:val="00E742DA"/>
    <w:rsid w:val="00E7501E"/>
    <w:rsid w:val="00E75637"/>
    <w:rsid w:val="00E77EA5"/>
    <w:rsid w:val="00E81E54"/>
    <w:rsid w:val="00E82B18"/>
    <w:rsid w:val="00E84E3F"/>
    <w:rsid w:val="00E84FEA"/>
    <w:rsid w:val="00E86E5E"/>
    <w:rsid w:val="00E90621"/>
    <w:rsid w:val="00E93183"/>
    <w:rsid w:val="00E96C6D"/>
    <w:rsid w:val="00EA0FED"/>
    <w:rsid w:val="00EA1631"/>
    <w:rsid w:val="00EA21E9"/>
    <w:rsid w:val="00EA2F1F"/>
    <w:rsid w:val="00EA5AEA"/>
    <w:rsid w:val="00EA5E94"/>
    <w:rsid w:val="00EA7BC4"/>
    <w:rsid w:val="00EB0931"/>
    <w:rsid w:val="00EB24B9"/>
    <w:rsid w:val="00EB5EB5"/>
    <w:rsid w:val="00EC3B80"/>
    <w:rsid w:val="00EC5FC5"/>
    <w:rsid w:val="00ED047F"/>
    <w:rsid w:val="00ED12A6"/>
    <w:rsid w:val="00ED4EDE"/>
    <w:rsid w:val="00ED6775"/>
    <w:rsid w:val="00EE26D8"/>
    <w:rsid w:val="00EE4640"/>
    <w:rsid w:val="00EE4838"/>
    <w:rsid w:val="00EF0D5A"/>
    <w:rsid w:val="00EF110F"/>
    <w:rsid w:val="00EF71A2"/>
    <w:rsid w:val="00F00EEF"/>
    <w:rsid w:val="00F0112D"/>
    <w:rsid w:val="00F01D21"/>
    <w:rsid w:val="00F04484"/>
    <w:rsid w:val="00F05308"/>
    <w:rsid w:val="00F05F76"/>
    <w:rsid w:val="00F11E2F"/>
    <w:rsid w:val="00F12FEF"/>
    <w:rsid w:val="00F1357A"/>
    <w:rsid w:val="00F13960"/>
    <w:rsid w:val="00F15392"/>
    <w:rsid w:val="00F168A0"/>
    <w:rsid w:val="00F1749A"/>
    <w:rsid w:val="00F21CFD"/>
    <w:rsid w:val="00F22079"/>
    <w:rsid w:val="00F23B37"/>
    <w:rsid w:val="00F23F2F"/>
    <w:rsid w:val="00F25909"/>
    <w:rsid w:val="00F27CB7"/>
    <w:rsid w:val="00F33583"/>
    <w:rsid w:val="00F33954"/>
    <w:rsid w:val="00F33A00"/>
    <w:rsid w:val="00F344C3"/>
    <w:rsid w:val="00F34583"/>
    <w:rsid w:val="00F347DF"/>
    <w:rsid w:val="00F35515"/>
    <w:rsid w:val="00F357AC"/>
    <w:rsid w:val="00F359D5"/>
    <w:rsid w:val="00F362C1"/>
    <w:rsid w:val="00F36C4E"/>
    <w:rsid w:val="00F37966"/>
    <w:rsid w:val="00F40DE7"/>
    <w:rsid w:val="00F462EF"/>
    <w:rsid w:val="00F467D9"/>
    <w:rsid w:val="00F55BAB"/>
    <w:rsid w:val="00F614AA"/>
    <w:rsid w:val="00F657B3"/>
    <w:rsid w:val="00F66665"/>
    <w:rsid w:val="00F67B68"/>
    <w:rsid w:val="00F713B1"/>
    <w:rsid w:val="00F73C88"/>
    <w:rsid w:val="00F75BD8"/>
    <w:rsid w:val="00F76B31"/>
    <w:rsid w:val="00F80F2E"/>
    <w:rsid w:val="00F83561"/>
    <w:rsid w:val="00F835D9"/>
    <w:rsid w:val="00F84C5E"/>
    <w:rsid w:val="00F8594D"/>
    <w:rsid w:val="00F86C33"/>
    <w:rsid w:val="00F86F2A"/>
    <w:rsid w:val="00F8704F"/>
    <w:rsid w:val="00F871CC"/>
    <w:rsid w:val="00F8725C"/>
    <w:rsid w:val="00F879AC"/>
    <w:rsid w:val="00F91748"/>
    <w:rsid w:val="00F928DB"/>
    <w:rsid w:val="00F93720"/>
    <w:rsid w:val="00F976E2"/>
    <w:rsid w:val="00FA1604"/>
    <w:rsid w:val="00FA29F5"/>
    <w:rsid w:val="00FA5E7C"/>
    <w:rsid w:val="00FA7D8E"/>
    <w:rsid w:val="00FB00DE"/>
    <w:rsid w:val="00FB12D7"/>
    <w:rsid w:val="00FB242C"/>
    <w:rsid w:val="00FB651A"/>
    <w:rsid w:val="00FC258C"/>
    <w:rsid w:val="00FC4B37"/>
    <w:rsid w:val="00FC4EB6"/>
    <w:rsid w:val="00FC675E"/>
    <w:rsid w:val="00FC6A35"/>
    <w:rsid w:val="00FC6EC6"/>
    <w:rsid w:val="00FC79FE"/>
    <w:rsid w:val="00FD2DD0"/>
    <w:rsid w:val="00FD2F54"/>
    <w:rsid w:val="00FD46F9"/>
    <w:rsid w:val="00FD5A20"/>
    <w:rsid w:val="00FD67B5"/>
    <w:rsid w:val="00FD6E1F"/>
    <w:rsid w:val="00FD7040"/>
    <w:rsid w:val="00FE0710"/>
    <w:rsid w:val="00FE1F53"/>
    <w:rsid w:val="00FE23EE"/>
    <w:rsid w:val="00FE2B7E"/>
    <w:rsid w:val="00FE2D90"/>
    <w:rsid w:val="00FE3BDC"/>
    <w:rsid w:val="00FE3DA4"/>
    <w:rsid w:val="00FE6800"/>
    <w:rsid w:val="00FF72A7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478089"/>
  <w15:docId w15:val="{4B861CE8-E175-4C40-899D-0512CAC6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1E1A"/>
    <w:pPr>
      <w:ind w:left="1191" w:hanging="567"/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582A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A02BB"/>
    <w:pPr>
      <w:keepNext/>
      <w:ind w:left="0" w:firstLine="0"/>
      <w:jc w:val="left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F8356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qFormat/>
    <w:rsid w:val="00BE4846"/>
    <w:pPr>
      <w:keepNext/>
      <w:tabs>
        <w:tab w:val="left" w:pos="-720"/>
        <w:tab w:val="num" w:pos="864"/>
      </w:tabs>
      <w:suppressAutoHyphens/>
      <w:ind w:left="864" w:right="-136" w:hanging="864"/>
      <w:outlineLvl w:val="3"/>
    </w:pPr>
    <w:rPr>
      <w:b/>
      <w:spacing w:val="20"/>
      <w:sz w:val="14"/>
      <w:lang w:val="es-CO"/>
    </w:rPr>
  </w:style>
  <w:style w:type="paragraph" w:styleId="Ttulo5">
    <w:name w:val="heading 5"/>
    <w:basedOn w:val="Normal"/>
    <w:next w:val="Normal"/>
    <w:link w:val="Ttulo5Car"/>
    <w:qFormat/>
    <w:rsid w:val="00BE4846"/>
    <w:pPr>
      <w:keepNext/>
      <w:tabs>
        <w:tab w:val="num" w:pos="1008"/>
      </w:tabs>
      <w:suppressAutoHyphens/>
      <w:ind w:left="1008" w:right="-136" w:hanging="1008"/>
      <w:jc w:val="center"/>
      <w:outlineLvl w:val="4"/>
    </w:pPr>
    <w:rPr>
      <w:b/>
      <w:spacing w:val="20"/>
      <w:sz w:val="16"/>
      <w:lang w:val="es-CO"/>
    </w:rPr>
  </w:style>
  <w:style w:type="paragraph" w:styleId="Ttulo6">
    <w:name w:val="heading 6"/>
    <w:basedOn w:val="Normal"/>
    <w:next w:val="Normal"/>
    <w:link w:val="Ttulo6Car"/>
    <w:qFormat/>
    <w:rsid w:val="00BE4846"/>
    <w:pPr>
      <w:keepNext/>
      <w:tabs>
        <w:tab w:val="num" w:pos="1152"/>
      </w:tabs>
      <w:suppressAutoHyphens/>
      <w:ind w:left="1152" w:right="-136" w:hanging="1152"/>
      <w:outlineLvl w:val="5"/>
    </w:pPr>
    <w:rPr>
      <w:b/>
      <w:spacing w:val="20"/>
      <w:sz w:val="28"/>
      <w:lang w:val="es-CO"/>
    </w:rPr>
  </w:style>
  <w:style w:type="paragraph" w:styleId="Ttulo7">
    <w:name w:val="heading 7"/>
    <w:basedOn w:val="Normal"/>
    <w:next w:val="Normal"/>
    <w:link w:val="Ttulo7Car"/>
    <w:qFormat/>
    <w:rsid w:val="00BE4846"/>
    <w:pPr>
      <w:keepNext/>
      <w:tabs>
        <w:tab w:val="num" w:pos="1296"/>
      </w:tabs>
      <w:ind w:left="1296" w:hanging="1296"/>
      <w:jc w:val="center"/>
      <w:outlineLvl w:val="6"/>
    </w:pPr>
    <w:rPr>
      <w:b/>
      <w:caps/>
      <w:sz w:val="20"/>
      <w:lang w:val="es-CO"/>
    </w:rPr>
  </w:style>
  <w:style w:type="paragraph" w:styleId="Ttulo8">
    <w:name w:val="heading 8"/>
    <w:basedOn w:val="Normal"/>
    <w:next w:val="Normal"/>
    <w:link w:val="Ttulo8Car"/>
    <w:qFormat/>
    <w:rsid w:val="00BE4846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sz w:val="20"/>
      <w:lang w:val="es-CO"/>
    </w:rPr>
  </w:style>
  <w:style w:type="paragraph" w:styleId="Ttulo9">
    <w:name w:val="heading 9"/>
    <w:basedOn w:val="Normal"/>
    <w:next w:val="Normal"/>
    <w:link w:val="Ttulo9Car"/>
    <w:qFormat/>
    <w:rsid w:val="00BE4846"/>
    <w:pPr>
      <w:tabs>
        <w:tab w:val="num" w:pos="1584"/>
      </w:tabs>
      <w:spacing w:before="240" w:after="60"/>
      <w:ind w:left="1584" w:hanging="1584"/>
      <w:jc w:val="left"/>
      <w:outlineLvl w:val="8"/>
    </w:pPr>
    <w:rPr>
      <w:b/>
      <w:i/>
      <w:sz w:val="1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D1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D1E1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D1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6D1E1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D1E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D1E1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A6B6A"/>
    <w:pPr>
      <w:ind w:left="720"/>
      <w:contextualSpacing/>
    </w:pPr>
  </w:style>
  <w:style w:type="paragraph" w:styleId="Sinespaciado">
    <w:name w:val="No Spacing"/>
    <w:uiPriority w:val="1"/>
    <w:qFormat/>
    <w:rsid w:val="00A348B7"/>
    <w:rPr>
      <w:lang w:val="es-ES_tradnl"/>
    </w:rPr>
  </w:style>
  <w:style w:type="paragraph" w:styleId="Textoindependiente">
    <w:name w:val="Body Text"/>
    <w:basedOn w:val="Normal"/>
    <w:link w:val="TextoindependienteCar"/>
    <w:rsid w:val="00317085"/>
    <w:pPr>
      <w:spacing w:after="120"/>
    </w:pPr>
  </w:style>
  <w:style w:type="character" w:customStyle="1" w:styleId="TextoindependienteCar">
    <w:name w:val="Texto independiente Car"/>
    <w:link w:val="Textoindependiente"/>
    <w:rsid w:val="00317085"/>
    <w:rPr>
      <w:rFonts w:ascii="Arial" w:hAnsi="Arial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rsid w:val="007F3C69"/>
    <w:pPr>
      <w:ind w:left="0" w:firstLine="0"/>
      <w:jc w:val="left"/>
    </w:pPr>
    <w:rPr>
      <w:rFonts w:ascii="Courier New" w:hAnsi="Courier New" w:cs="Courier New"/>
      <w:sz w:val="20"/>
      <w:lang w:val="es-ES"/>
    </w:rPr>
  </w:style>
  <w:style w:type="character" w:customStyle="1" w:styleId="TextonotapieCar">
    <w:name w:val="Texto nota pie Car"/>
    <w:link w:val="Textonotapie"/>
    <w:rsid w:val="007F3C69"/>
    <w:rPr>
      <w:rFonts w:ascii="Courier New" w:hAnsi="Courier New" w:cs="Courier New"/>
      <w:lang w:val="es-ES" w:eastAsia="es-ES"/>
    </w:rPr>
  </w:style>
  <w:style w:type="character" w:styleId="Refdenotaalpie">
    <w:name w:val="footnote reference"/>
    <w:uiPriority w:val="99"/>
    <w:unhideWhenUsed/>
    <w:rsid w:val="007F3C69"/>
    <w:rPr>
      <w:vertAlign w:val="superscript"/>
    </w:rPr>
  </w:style>
  <w:style w:type="paragraph" w:customStyle="1" w:styleId="Default">
    <w:name w:val="Default"/>
    <w:rsid w:val="00062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character" w:customStyle="1" w:styleId="Ttulo2Car">
    <w:name w:val="Título 2 Car"/>
    <w:link w:val="Ttulo2"/>
    <w:rsid w:val="006A02BB"/>
    <w:rPr>
      <w:rFonts w:ascii="Arial" w:hAnsi="Arial"/>
      <w:b/>
      <w:bCs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unhideWhenUsed/>
    <w:rsid w:val="001D21F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1D21FB"/>
    <w:rPr>
      <w:rFonts w:ascii="Arial" w:hAnsi="Arial"/>
      <w:sz w:val="24"/>
      <w:lang w:val="es-ES_tradnl" w:eastAsia="es-ES"/>
    </w:rPr>
  </w:style>
  <w:style w:type="character" w:styleId="Refdecomentario">
    <w:name w:val="annotation reference"/>
    <w:uiPriority w:val="99"/>
    <w:rsid w:val="00F835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F83561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F83561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83561"/>
    <w:rPr>
      <w:b/>
      <w:bCs/>
    </w:rPr>
  </w:style>
  <w:style w:type="character" w:customStyle="1" w:styleId="AsuntodelcomentarioCar">
    <w:name w:val="Asunto del comentario Car"/>
    <w:link w:val="Asuntodelcomentario"/>
    <w:rsid w:val="00F83561"/>
    <w:rPr>
      <w:rFonts w:ascii="Arial" w:hAnsi="Arial"/>
      <w:b/>
      <w:bCs/>
      <w:lang w:val="es-ES_tradnl" w:eastAsia="es-ES"/>
    </w:rPr>
  </w:style>
  <w:style w:type="character" w:customStyle="1" w:styleId="Ttulo3Car">
    <w:name w:val="Título 3 Car"/>
    <w:link w:val="Ttulo3"/>
    <w:rsid w:val="00F83561"/>
    <w:rPr>
      <w:rFonts w:ascii="Cambria" w:eastAsia="Times New Roman" w:hAnsi="Cambria" w:cs="Times New Roman"/>
      <w:b/>
      <w:bCs/>
      <w:color w:val="4F81BD"/>
      <w:sz w:val="24"/>
      <w:lang w:val="es-ES_tradnl" w:eastAsia="es-ES"/>
    </w:rPr>
  </w:style>
  <w:style w:type="character" w:customStyle="1" w:styleId="highlight">
    <w:name w:val="highlight"/>
    <w:basedOn w:val="Fuentedeprrafopredeter"/>
    <w:rsid w:val="00C70289"/>
  </w:style>
  <w:style w:type="table" w:styleId="Tablaconcuadrcula">
    <w:name w:val="Table Grid"/>
    <w:basedOn w:val="Tablanormal"/>
    <w:rsid w:val="00F8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nhideWhenUsed/>
    <w:rsid w:val="00DA532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A5321"/>
    <w:rPr>
      <w:rFonts w:ascii="Arial" w:hAnsi="Arial"/>
      <w:sz w:val="24"/>
      <w:lang w:val="es-ES_tradnl"/>
    </w:rPr>
  </w:style>
  <w:style w:type="character" w:customStyle="1" w:styleId="Ttulo1Car">
    <w:name w:val="Título 1 Car"/>
    <w:basedOn w:val="Fuentedeprrafopredeter"/>
    <w:link w:val="Ttulo1"/>
    <w:rsid w:val="00582AB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4Car">
    <w:name w:val="Título 4 Car"/>
    <w:basedOn w:val="Fuentedeprrafopredeter"/>
    <w:link w:val="Ttulo4"/>
    <w:rsid w:val="00BE4846"/>
    <w:rPr>
      <w:rFonts w:ascii="Arial" w:hAnsi="Arial"/>
      <w:b/>
      <w:spacing w:val="20"/>
      <w:sz w:val="14"/>
      <w:lang w:val="es-CO"/>
    </w:rPr>
  </w:style>
  <w:style w:type="character" w:customStyle="1" w:styleId="Ttulo5Car">
    <w:name w:val="Título 5 Car"/>
    <w:basedOn w:val="Fuentedeprrafopredeter"/>
    <w:link w:val="Ttulo5"/>
    <w:rsid w:val="00BE4846"/>
    <w:rPr>
      <w:rFonts w:ascii="Arial" w:hAnsi="Arial"/>
      <w:b/>
      <w:spacing w:val="20"/>
      <w:sz w:val="16"/>
      <w:lang w:val="es-CO"/>
    </w:rPr>
  </w:style>
  <w:style w:type="character" w:customStyle="1" w:styleId="Ttulo6Car">
    <w:name w:val="Título 6 Car"/>
    <w:basedOn w:val="Fuentedeprrafopredeter"/>
    <w:link w:val="Ttulo6"/>
    <w:rsid w:val="00BE4846"/>
    <w:rPr>
      <w:rFonts w:ascii="Arial" w:hAnsi="Arial"/>
      <w:b/>
      <w:spacing w:val="20"/>
      <w:sz w:val="28"/>
      <w:lang w:val="es-CO"/>
    </w:rPr>
  </w:style>
  <w:style w:type="character" w:customStyle="1" w:styleId="Ttulo7Car">
    <w:name w:val="Título 7 Car"/>
    <w:basedOn w:val="Fuentedeprrafopredeter"/>
    <w:link w:val="Ttulo7"/>
    <w:rsid w:val="00BE4846"/>
    <w:rPr>
      <w:rFonts w:ascii="Arial" w:hAnsi="Arial"/>
      <w:b/>
      <w:caps/>
      <w:lang w:val="es-CO"/>
    </w:rPr>
  </w:style>
  <w:style w:type="character" w:customStyle="1" w:styleId="Ttulo8Car">
    <w:name w:val="Título 8 Car"/>
    <w:basedOn w:val="Fuentedeprrafopredeter"/>
    <w:link w:val="Ttulo8"/>
    <w:rsid w:val="00BE4846"/>
    <w:rPr>
      <w:rFonts w:ascii="Arial" w:hAnsi="Arial"/>
      <w:i/>
      <w:lang w:val="es-CO"/>
    </w:rPr>
  </w:style>
  <w:style w:type="character" w:customStyle="1" w:styleId="Ttulo9Car">
    <w:name w:val="Título 9 Car"/>
    <w:basedOn w:val="Fuentedeprrafopredeter"/>
    <w:link w:val="Ttulo9"/>
    <w:rsid w:val="00BE4846"/>
    <w:rPr>
      <w:rFonts w:ascii="Arial" w:hAnsi="Arial"/>
      <w:b/>
      <w:i/>
      <w:sz w:val="18"/>
      <w:lang w:val="es-CO"/>
    </w:rPr>
  </w:style>
  <w:style w:type="paragraph" w:customStyle="1" w:styleId="toa">
    <w:name w:val="toa"/>
    <w:basedOn w:val="Normal"/>
    <w:rsid w:val="00BE4846"/>
    <w:pPr>
      <w:tabs>
        <w:tab w:val="left" w:pos="9000"/>
        <w:tab w:val="right" w:pos="9360"/>
      </w:tabs>
      <w:suppressAutoHyphens/>
      <w:ind w:left="0" w:firstLine="0"/>
      <w:jc w:val="left"/>
    </w:pPr>
    <w:rPr>
      <w:rFonts w:ascii="Courier" w:hAnsi="Courier"/>
      <w:lang w:val="en-US"/>
    </w:rPr>
  </w:style>
  <w:style w:type="paragraph" w:customStyle="1" w:styleId="Titulo">
    <w:name w:val="Titulo"/>
    <w:basedOn w:val="Textoindependiente2"/>
    <w:link w:val="TituloCar"/>
    <w:rsid w:val="00BE4846"/>
    <w:pPr>
      <w:numPr>
        <w:ilvl w:val="1"/>
        <w:numId w:val="2"/>
      </w:numPr>
      <w:spacing w:after="0" w:line="240" w:lineRule="auto"/>
    </w:pPr>
    <w:rPr>
      <w:rFonts w:cs="Arial"/>
      <w:b/>
      <w:bCs/>
      <w:szCs w:val="24"/>
      <w:lang w:val="es-ES"/>
    </w:rPr>
  </w:style>
  <w:style w:type="paragraph" w:customStyle="1" w:styleId="Titulo2">
    <w:name w:val="Titulo 2"/>
    <w:basedOn w:val="Titulo"/>
    <w:rsid w:val="00BE4846"/>
    <w:pPr>
      <w:numPr>
        <w:ilvl w:val="0"/>
        <w:numId w:val="0"/>
      </w:numPr>
    </w:pPr>
  </w:style>
  <w:style w:type="character" w:customStyle="1" w:styleId="Titulo3Car">
    <w:name w:val="Titulo 3 Car"/>
    <w:basedOn w:val="Fuentedeprrafopredeter"/>
    <w:link w:val="Titulo3"/>
    <w:rsid w:val="00BE4846"/>
    <w:rPr>
      <w:rFonts w:ascii="Arial" w:hAnsi="Arial" w:cs="Arial"/>
      <w:b/>
      <w:bCs/>
      <w:sz w:val="24"/>
      <w:szCs w:val="24"/>
    </w:rPr>
  </w:style>
  <w:style w:type="paragraph" w:customStyle="1" w:styleId="BodyText21">
    <w:name w:val="Body Text 21"/>
    <w:basedOn w:val="Normal"/>
    <w:rsid w:val="00BE4846"/>
    <w:pPr>
      <w:tabs>
        <w:tab w:val="left" w:pos="-720"/>
      </w:tabs>
      <w:ind w:left="0" w:firstLine="0"/>
    </w:pPr>
    <w:rPr>
      <w:spacing w:val="20"/>
      <w:sz w:val="16"/>
      <w:lang w:val="es-CO" w:eastAsia="es-CO"/>
    </w:rPr>
  </w:style>
  <w:style w:type="character" w:styleId="Nmerodepgina">
    <w:name w:val="page number"/>
    <w:rsid w:val="00BE4846"/>
    <w:rPr>
      <w:rFonts w:cs="Times New Roman"/>
    </w:rPr>
  </w:style>
  <w:style w:type="paragraph" w:styleId="Sangra3detindependiente">
    <w:name w:val="Body Text Indent 3"/>
    <w:basedOn w:val="Normal"/>
    <w:link w:val="Sangra3detindependienteCar"/>
    <w:unhideWhenUsed/>
    <w:rsid w:val="00BE4846"/>
    <w:pPr>
      <w:spacing w:after="120"/>
      <w:ind w:left="283" w:firstLine="0"/>
      <w:jc w:val="left"/>
    </w:pPr>
    <w:rPr>
      <w:rFonts w:ascii="Courier" w:hAnsi="Courier"/>
      <w:sz w:val="16"/>
      <w:szCs w:val="16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E4846"/>
    <w:rPr>
      <w:rFonts w:ascii="Courier" w:hAnsi="Courier"/>
      <w:sz w:val="16"/>
      <w:szCs w:val="16"/>
      <w:lang w:val="es-CO"/>
    </w:rPr>
  </w:style>
  <w:style w:type="paragraph" w:styleId="Textoindependiente3">
    <w:name w:val="Body Text 3"/>
    <w:basedOn w:val="Normal"/>
    <w:link w:val="Textoindependiente3Car"/>
    <w:rsid w:val="00BE4846"/>
    <w:pPr>
      <w:pBdr>
        <w:left w:val="single" w:sz="4" w:space="4" w:color="auto"/>
      </w:pBdr>
      <w:suppressAutoHyphens/>
      <w:ind w:left="0" w:right="-136" w:firstLine="0"/>
    </w:pPr>
    <w:rPr>
      <w:strike/>
      <w:spacing w:val="20"/>
      <w:sz w:val="16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BE4846"/>
    <w:rPr>
      <w:rFonts w:ascii="Arial" w:hAnsi="Arial"/>
      <w:strike/>
      <w:spacing w:val="20"/>
      <w:sz w:val="16"/>
      <w:lang w:val="es-CO"/>
    </w:rPr>
  </w:style>
  <w:style w:type="paragraph" w:styleId="Ttulo">
    <w:name w:val="Title"/>
    <w:basedOn w:val="Normal"/>
    <w:link w:val="TtuloCar"/>
    <w:qFormat/>
    <w:rsid w:val="00BE4846"/>
    <w:pPr>
      <w:suppressAutoHyphens/>
      <w:ind w:left="0" w:right="-136" w:firstLine="0"/>
      <w:jc w:val="center"/>
    </w:pPr>
    <w:rPr>
      <w:b/>
      <w:spacing w:val="20"/>
      <w:sz w:val="20"/>
      <w:lang w:val="es-CO"/>
    </w:rPr>
  </w:style>
  <w:style w:type="character" w:customStyle="1" w:styleId="TtuloCar">
    <w:name w:val="Título Car"/>
    <w:basedOn w:val="Fuentedeprrafopredeter"/>
    <w:link w:val="Ttulo"/>
    <w:rsid w:val="00BE4846"/>
    <w:rPr>
      <w:rFonts w:ascii="Arial" w:hAnsi="Arial"/>
      <w:b/>
      <w:spacing w:val="20"/>
      <w:lang w:val="es-CO"/>
    </w:rPr>
  </w:style>
  <w:style w:type="paragraph" w:styleId="Descripcin">
    <w:name w:val="caption"/>
    <w:basedOn w:val="Normal"/>
    <w:next w:val="Normal"/>
    <w:unhideWhenUsed/>
    <w:qFormat/>
    <w:rsid w:val="00BE4846"/>
    <w:pPr>
      <w:ind w:left="0" w:firstLine="0"/>
      <w:jc w:val="left"/>
    </w:pPr>
    <w:rPr>
      <w:rFonts w:ascii="Courier" w:hAnsi="Courier"/>
      <w:b/>
      <w:bCs/>
      <w:sz w:val="20"/>
      <w:lang w:val="es-CO"/>
    </w:rPr>
  </w:style>
  <w:style w:type="paragraph" w:styleId="Revisin">
    <w:name w:val="Revision"/>
    <w:hidden/>
    <w:uiPriority w:val="99"/>
    <w:semiHidden/>
    <w:rsid w:val="00BE4846"/>
    <w:rPr>
      <w:rFonts w:ascii="Courier" w:hAnsi="Courier"/>
      <w:sz w:val="24"/>
      <w:lang w:val="es-CO"/>
    </w:rPr>
  </w:style>
  <w:style w:type="paragraph" w:customStyle="1" w:styleId="Titulo3">
    <w:name w:val="Titulo 3"/>
    <w:basedOn w:val="Titulo"/>
    <w:link w:val="Titulo3Car"/>
    <w:rsid w:val="00BE4846"/>
    <w:pPr>
      <w:numPr>
        <w:numId w:val="3"/>
      </w:numPr>
      <w:tabs>
        <w:tab w:val="clear" w:pos="1080"/>
      </w:tabs>
      <w:ind w:left="720"/>
    </w:pPr>
  </w:style>
  <w:style w:type="character" w:customStyle="1" w:styleId="TituloCar">
    <w:name w:val="Titulo Car"/>
    <w:link w:val="Titulo"/>
    <w:rsid w:val="00BE4846"/>
    <w:rPr>
      <w:rFonts w:ascii="Arial" w:hAnsi="Arial" w:cs="Arial"/>
      <w:b/>
      <w:bCs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E4846"/>
    <w:pPr>
      <w:ind w:left="0" w:firstLine="0"/>
      <w:jc w:val="left"/>
    </w:pPr>
    <w:rPr>
      <w:rFonts w:ascii="Courier" w:hAnsi="Courier"/>
      <w:sz w:val="20"/>
      <w:lang w:val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E4846"/>
    <w:rPr>
      <w:rFonts w:ascii="Courier" w:hAnsi="Courier"/>
      <w:lang w:val="es-CO"/>
    </w:rPr>
  </w:style>
  <w:style w:type="character" w:styleId="Refdenotaalfinal">
    <w:name w:val="endnote reference"/>
    <w:basedOn w:val="Fuentedeprrafopredeter"/>
    <w:unhideWhenUsed/>
    <w:rsid w:val="00BE4846"/>
    <w:rPr>
      <w:vertAlign w:val="superscript"/>
    </w:rPr>
  </w:style>
  <w:style w:type="character" w:customStyle="1" w:styleId="PrrafodelistaCar">
    <w:name w:val="Párrafo de lista Car"/>
    <w:link w:val="Prrafodelista"/>
    <w:uiPriority w:val="34"/>
    <w:locked/>
    <w:rsid w:val="00BE4846"/>
    <w:rPr>
      <w:rFonts w:ascii="Arial" w:hAnsi="Arial"/>
      <w:sz w:val="24"/>
      <w:lang w:val="es-ES_tradnl"/>
    </w:rPr>
  </w:style>
  <w:style w:type="paragraph" w:customStyle="1" w:styleId="CM4">
    <w:name w:val="CM4"/>
    <w:basedOn w:val="Default"/>
    <w:next w:val="Default"/>
    <w:uiPriority w:val="99"/>
    <w:rsid w:val="00BE4846"/>
    <w:rPr>
      <w:rFonts w:ascii="Times New Roman" w:eastAsiaTheme="minorHAnsi" w:hAnsi="Times New Roman" w:cs="Times New Roman"/>
      <w:color w:val="auto"/>
      <w:lang w:eastAsia="en-US"/>
    </w:rPr>
  </w:style>
  <w:style w:type="character" w:styleId="Hipervnculo">
    <w:name w:val="Hyperlink"/>
    <w:basedOn w:val="Fuentedeprrafopredeter"/>
    <w:uiPriority w:val="99"/>
    <w:unhideWhenUsed/>
    <w:rsid w:val="00BE484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3260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  <w:lang w:val="en-US" w:eastAsia="en-US"/>
    </w:rPr>
  </w:style>
  <w:style w:type="paragraph" w:styleId="Subttulo">
    <w:name w:val="Subtitle"/>
    <w:basedOn w:val="Normal"/>
    <w:next w:val="Normal"/>
    <w:link w:val="SubttuloCar"/>
    <w:qFormat/>
    <w:rsid w:val="000D1C59"/>
    <w:pPr>
      <w:numPr>
        <w:ilvl w:val="1"/>
      </w:numPr>
      <w:spacing w:after="160"/>
      <w:ind w:left="1191" w:hanging="567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0D1C5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4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5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8D7D613AEC44408A1FBEE461E50E4E" ma:contentTypeVersion="12" ma:contentTypeDescription="Create a new document." ma:contentTypeScope="" ma:versionID="a350c6f6181b1c152722aad614a8d69b">
  <xsd:schema xmlns:xsd="http://www.w3.org/2001/XMLSchema" xmlns:xs="http://www.w3.org/2001/XMLSchema" xmlns:p="http://schemas.microsoft.com/office/2006/metadata/properties" xmlns:ns3="26603b17-44e7-4413-8e32-d789cbda7d51" xmlns:ns4="2ad791d0-9173-4cdd-b6f9-3a07d638361e" targetNamespace="http://schemas.microsoft.com/office/2006/metadata/properties" ma:root="true" ma:fieldsID="ffe5644769a2296b46d108b8dc3d3d5a" ns3:_="" ns4:_="">
    <xsd:import namespace="26603b17-44e7-4413-8e32-d789cbda7d51"/>
    <xsd:import namespace="2ad791d0-9173-4cdd-b6f9-3a07d638361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03b17-44e7-4413-8e32-d789cbda7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791d0-9173-4cdd-b6f9-3a07d638361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949A1-491A-4FD0-A0D0-B92B716624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8D71C0-876E-4CE2-8F93-C6D4C2E7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07CDE-118F-4B61-9A25-FA9414419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03b17-44e7-4413-8e32-d789cbda7d51"/>
    <ds:schemaRef ds:uri="2ad791d0-9173-4cdd-b6f9-3a07d63836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9B6195-CBD3-4816-81EC-E90BF82B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1683</Words>
  <Characters>9278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Superintendencia Financiera de Colombia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Ida Maria Carolina Mestre Ordoñez</dc:creator>
  <cp:lastModifiedBy>Gabriel Armando Ospina Garcia</cp:lastModifiedBy>
  <cp:revision>12</cp:revision>
  <cp:lastPrinted>2019-12-18T19:19:00Z</cp:lastPrinted>
  <dcterms:created xsi:type="dcterms:W3CDTF">2020-09-17T23:15:00Z</dcterms:created>
  <dcterms:modified xsi:type="dcterms:W3CDTF">2020-10-01T16:13:00Z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0x0101007A8D7D613AEC44408A1FBEE461E50E4E</vt:lpwstr>
  </property>
</Properties>
</file>