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B602E" w14:textId="77777777" w:rsidR="005B572C" w:rsidRPr="00BA2890" w:rsidRDefault="005B572C" w:rsidP="00830C71">
      <w:pPr>
        <w:jc w:val="left"/>
        <w:rPr>
          <w:rFonts w:cs="Arial"/>
          <w:sz w:val="16"/>
          <w:szCs w:val="16"/>
        </w:rPr>
      </w:pPr>
    </w:p>
    <w:p w14:paraId="4AD5B314" w14:textId="77777777" w:rsidR="005B572C" w:rsidRPr="00BA2890" w:rsidRDefault="005B572C" w:rsidP="005B572C">
      <w:pPr>
        <w:rPr>
          <w:rFonts w:cs="Arial"/>
          <w:sz w:val="16"/>
          <w:szCs w:val="16"/>
          <w:lang w:val="es-ES"/>
        </w:rPr>
      </w:pPr>
      <w:r w:rsidRPr="5AD2D8CF">
        <w:rPr>
          <w:rFonts w:cs="Arial"/>
          <w:sz w:val="16"/>
          <w:szCs w:val="16"/>
          <w:lang w:val="es-ES"/>
        </w:rPr>
        <w:t xml:space="preserve">El valor por descontar corresponde al porcentaje de comisión de administración autorizada de acuerdo con el </w:t>
      </w:r>
      <w:proofErr w:type="spellStart"/>
      <w:r w:rsidRPr="5AD2D8CF">
        <w:rPr>
          <w:rFonts w:cs="Arial"/>
          <w:sz w:val="16"/>
          <w:szCs w:val="16"/>
          <w:lang w:val="es-ES"/>
        </w:rPr>
        <w:t>subnumeral</w:t>
      </w:r>
      <w:proofErr w:type="spellEnd"/>
      <w:r w:rsidRPr="5AD2D8CF">
        <w:rPr>
          <w:rFonts w:cs="Arial"/>
          <w:sz w:val="16"/>
          <w:szCs w:val="16"/>
          <w:lang w:val="es-ES"/>
        </w:rPr>
        <w:t xml:space="preserve"> 1.3 del presente Capitulo que se haya causado durante el periodo de cálculo correspondiente.</w:t>
      </w:r>
    </w:p>
    <w:p w14:paraId="0343F58A" w14:textId="77777777" w:rsidR="005B572C" w:rsidRPr="00BA2890" w:rsidRDefault="005B572C" w:rsidP="005B572C">
      <w:pPr>
        <w:rPr>
          <w:rFonts w:cs="Arial"/>
          <w:sz w:val="16"/>
          <w:szCs w:val="16"/>
        </w:rPr>
      </w:pPr>
    </w:p>
    <w:p w14:paraId="612F587E" w14:textId="77777777" w:rsidR="005B572C" w:rsidRDefault="005B572C" w:rsidP="005B572C">
      <w:pPr>
        <w:rPr>
          <w:rFonts w:cs="Arial"/>
          <w:sz w:val="16"/>
          <w:szCs w:val="16"/>
          <w:lang w:val="es-CO"/>
        </w:rPr>
      </w:pPr>
      <w:r w:rsidRPr="00BA2890">
        <w:rPr>
          <w:rFonts w:cs="Arial"/>
          <w:sz w:val="16"/>
          <w:szCs w:val="16"/>
        </w:rPr>
        <w:t xml:space="preserve">1.10.2.1. Índice representativo del mercado accionario del exterior: </w:t>
      </w:r>
      <w:bookmarkStart w:id="0" w:name="_Hlk531013207"/>
      <w:r w:rsidRPr="00BA2890">
        <w:rPr>
          <w:rFonts w:cs="Arial"/>
          <w:sz w:val="16"/>
          <w:szCs w:val="16"/>
          <w:lang w:val="es-CO"/>
        </w:rPr>
        <w:t xml:space="preserve">Morgan Stanley Capital International MSCI </w:t>
      </w:r>
      <w:proofErr w:type="spellStart"/>
      <w:r w:rsidRPr="00BA2890">
        <w:rPr>
          <w:rFonts w:cs="Arial"/>
          <w:sz w:val="16"/>
          <w:szCs w:val="16"/>
          <w:lang w:val="es-CO"/>
        </w:rPr>
        <w:t>All</w:t>
      </w:r>
      <w:proofErr w:type="spellEnd"/>
      <w:r w:rsidRPr="00BA2890">
        <w:rPr>
          <w:rFonts w:cs="Arial"/>
          <w:sz w:val="16"/>
          <w:szCs w:val="16"/>
          <w:lang w:val="es-CO"/>
        </w:rPr>
        <w:t xml:space="preserve"> Country </w:t>
      </w:r>
      <w:proofErr w:type="spellStart"/>
      <w:r w:rsidRPr="00BA2890">
        <w:rPr>
          <w:rFonts w:cs="Arial"/>
          <w:sz w:val="16"/>
          <w:szCs w:val="16"/>
          <w:lang w:val="es-CO"/>
        </w:rPr>
        <w:t>World</w:t>
      </w:r>
      <w:proofErr w:type="spellEnd"/>
      <w:r w:rsidRPr="00BA2890">
        <w:rPr>
          <w:rFonts w:cs="Arial"/>
          <w:sz w:val="16"/>
          <w:szCs w:val="16"/>
          <w:lang w:val="es-CO"/>
        </w:rPr>
        <w:t xml:space="preserve"> </w:t>
      </w:r>
      <w:proofErr w:type="spellStart"/>
      <w:r w:rsidRPr="00BA2890">
        <w:rPr>
          <w:rFonts w:cs="Arial"/>
          <w:sz w:val="16"/>
          <w:szCs w:val="16"/>
          <w:lang w:val="es-CO"/>
        </w:rPr>
        <w:t>Index</w:t>
      </w:r>
      <w:proofErr w:type="spellEnd"/>
      <w:r w:rsidRPr="00BA2890">
        <w:rPr>
          <w:rFonts w:cs="Arial"/>
          <w:sz w:val="16"/>
          <w:szCs w:val="16"/>
          <w:lang w:val="es-CO"/>
        </w:rPr>
        <w:t xml:space="preserve"> (MSCI ACWI).</w:t>
      </w:r>
      <w:bookmarkEnd w:id="0"/>
    </w:p>
    <w:p w14:paraId="46693E39" w14:textId="77777777" w:rsidR="000027FD" w:rsidRDefault="000027FD" w:rsidP="005B572C">
      <w:pPr>
        <w:rPr>
          <w:rFonts w:cs="Arial"/>
          <w:sz w:val="16"/>
          <w:szCs w:val="16"/>
          <w:lang w:val="es-CO"/>
        </w:rPr>
      </w:pPr>
    </w:p>
    <w:p w14:paraId="0C1CC6A4" w14:textId="528A0757" w:rsidR="000027FD" w:rsidRPr="00BA2890" w:rsidRDefault="000027FD" w:rsidP="00830C71">
      <w:pPr>
        <w:pBdr>
          <w:left w:val="single" w:sz="4" w:space="4" w:color="auto"/>
        </w:pBdr>
        <w:rPr>
          <w:rFonts w:cs="Arial"/>
          <w:sz w:val="16"/>
          <w:szCs w:val="16"/>
        </w:rPr>
      </w:pPr>
      <w:r w:rsidRPr="00830C71">
        <w:rPr>
          <w:rFonts w:cs="Arial"/>
          <w:b/>
          <w:sz w:val="16"/>
          <w:szCs w:val="16"/>
          <w:lang w:val="es-ES"/>
        </w:rPr>
        <w:t xml:space="preserve">Para efectos de la ponderación definida en el ordinal </w:t>
      </w:r>
      <w:proofErr w:type="spellStart"/>
      <w:r w:rsidRPr="00830C71">
        <w:rPr>
          <w:rFonts w:cs="Arial"/>
          <w:b/>
          <w:sz w:val="16"/>
          <w:szCs w:val="16"/>
          <w:lang w:val="es-ES"/>
        </w:rPr>
        <w:t>ii</w:t>
      </w:r>
      <w:proofErr w:type="spellEnd"/>
      <w:r w:rsidRPr="00830C71">
        <w:rPr>
          <w:rFonts w:cs="Arial"/>
          <w:b/>
          <w:sz w:val="16"/>
          <w:szCs w:val="16"/>
          <w:lang w:val="es-ES"/>
        </w:rPr>
        <w:t>. del literal b) del numeral 1 del artículo 2.6.9.1.2.</w:t>
      </w:r>
      <w:r w:rsidR="000478BE" w:rsidRPr="5AD2D8CF">
        <w:rPr>
          <w:rFonts w:cs="Arial"/>
          <w:b/>
          <w:sz w:val="16"/>
          <w:szCs w:val="16"/>
          <w:lang w:val="es-ES"/>
        </w:rPr>
        <w:t xml:space="preserve"> </w:t>
      </w:r>
      <w:r w:rsidRPr="00830C71">
        <w:rPr>
          <w:rFonts w:cs="Arial"/>
          <w:b/>
          <w:sz w:val="16"/>
          <w:szCs w:val="16"/>
          <w:lang w:val="es-ES"/>
        </w:rPr>
        <w:t>del Decreto 2555 de 2010, la rentabilidad del Índice MSCI ACWI debe discriminar</w:t>
      </w:r>
      <w:r w:rsidR="000478BE" w:rsidRPr="5AD2D8CF">
        <w:rPr>
          <w:rFonts w:cs="Arial"/>
          <w:b/>
          <w:sz w:val="16"/>
          <w:szCs w:val="16"/>
          <w:lang w:val="es-ES"/>
        </w:rPr>
        <w:t>se</w:t>
      </w:r>
      <w:r w:rsidRPr="00830C71">
        <w:rPr>
          <w:rFonts w:cs="Arial"/>
          <w:b/>
          <w:sz w:val="16"/>
          <w:szCs w:val="16"/>
          <w:lang w:val="es-ES"/>
        </w:rPr>
        <w:t xml:space="preserve"> </w:t>
      </w:r>
      <w:r w:rsidR="000478BE" w:rsidRPr="5AD2D8CF">
        <w:rPr>
          <w:rFonts w:cs="Arial"/>
          <w:b/>
          <w:sz w:val="16"/>
          <w:szCs w:val="16"/>
          <w:lang w:val="es-ES"/>
        </w:rPr>
        <w:t xml:space="preserve">en </w:t>
      </w:r>
      <w:r w:rsidRPr="00830C71">
        <w:rPr>
          <w:rFonts w:cs="Arial"/>
          <w:b/>
          <w:sz w:val="16"/>
          <w:szCs w:val="16"/>
          <w:lang w:val="es-ES"/>
        </w:rPr>
        <w:t>su rendimiento en</w:t>
      </w:r>
      <w:r w:rsidR="004A03FD">
        <w:rPr>
          <w:rFonts w:cs="Arial"/>
          <w:b/>
          <w:sz w:val="16"/>
          <w:szCs w:val="16"/>
          <w:lang w:val="es-ES"/>
        </w:rPr>
        <w:t xml:space="preserve"> pesos colombianos</w:t>
      </w:r>
      <w:r w:rsidRPr="00830C71">
        <w:rPr>
          <w:rFonts w:cs="Arial"/>
          <w:b/>
          <w:sz w:val="16"/>
          <w:szCs w:val="16"/>
          <w:lang w:val="es-ES"/>
        </w:rPr>
        <w:t xml:space="preserve"> </w:t>
      </w:r>
      <w:r w:rsidR="004A03FD">
        <w:rPr>
          <w:rFonts w:cs="Arial"/>
          <w:b/>
          <w:sz w:val="16"/>
          <w:szCs w:val="16"/>
          <w:lang w:val="es-ES"/>
        </w:rPr>
        <w:t>(</w:t>
      </w:r>
      <w:r w:rsidRPr="00830C71">
        <w:rPr>
          <w:rFonts w:cs="Arial"/>
          <w:b/>
          <w:sz w:val="16"/>
          <w:szCs w:val="16"/>
          <w:lang w:val="es-ES"/>
        </w:rPr>
        <w:t>COP</w:t>
      </w:r>
      <w:r w:rsidR="004A03FD">
        <w:rPr>
          <w:rFonts w:cs="Arial"/>
          <w:b/>
          <w:sz w:val="16"/>
          <w:szCs w:val="16"/>
          <w:lang w:val="es-ES"/>
        </w:rPr>
        <w:t>)</w:t>
      </w:r>
      <w:r w:rsidRPr="00830C71">
        <w:rPr>
          <w:rFonts w:cs="Arial"/>
          <w:b/>
          <w:sz w:val="16"/>
          <w:szCs w:val="16"/>
          <w:lang w:val="es-ES"/>
        </w:rPr>
        <w:t xml:space="preserve"> y en </w:t>
      </w:r>
      <w:r w:rsidR="004A03FD">
        <w:rPr>
          <w:rFonts w:cs="Arial"/>
          <w:b/>
          <w:sz w:val="16"/>
          <w:szCs w:val="16"/>
          <w:lang w:val="es-ES"/>
        </w:rPr>
        <w:t xml:space="preserve">dólares </w:t>
      </w:r>
      <w:r w:rsidR="00251041">
        <w:rPr>
          <w:rFonts w:cs="Arial"/>
          <w:b/>
          <w:sz w:val="16"/>
          <w:szCs w:val="16"/>
          <w:lang w:val="es-ES"/>
        </w:rPr>
        <w:t xml:space="preserve">estadounidenses </w:t>
      </w:r>
      <w:r w:rsidR="004A03FD">
        <w:rPr>
          <w:rFonts w:cs="Arial"/>
          <w:b/>
          <w:sz w:val="16"/>
          <w:szCs w:val="16"/>
          <w:lang w:val="es-ES"/>
        </w:rPr>
        <w:t>(</w:t>
      </w:r>
      <w:r w:rsidRPr="00830C71">
        <w:rPr>
          <w:rFonts w:cs="Arial"/>
          <w:b/>
          <w:sz w:val="16"/>
          <w:szCs w:val="16"/>
          <w:lang w:val="es-ES"/>
        </w:rPr>
        <w:t>USD</w:t>
      </w:r>
      <w:r w:rsidR="004A03FD">
        <w:rPr>
          <w:rFonts w:cs="Arial"/>
          <w:b/>
          <w:sz w:val="16"/>
          <w:szCs w:val="16"/>
          <w:lang w:val="es-ES"/>
        </w:rPr>
        <w:t>)</w:t>
      </w:r>
      <w:r w:rsidR="000478BE" w:rsidRPr="5AD2D8CF">
        <w:rPr>
          <w:rFonts w:cs="Arial"/>
          <w:b/>
          <w:sz w:val="16"/>
          <w:szCs w:val="16"/>
          <w:lang w:val="es-ES"/>
        </w:rPr>
        <w:t>,</w:t>
      </w:r>
      <w:r w:rsidRPr="00830C71">
        <w:rPr>
          <w:rFonts w:cs="Arial"/>
          <w:b/>
          <w:sz w:val="16"/>
          <w:szCs w:val="16"/>
          <w:lang w:val="es-ES"/>
        </w:rPr>
        <w:t xml:space="preserve"> de acuerdo con lo previsto en el </w:t>
      </w:r>
      <w:proofErr w:type="spellStart"/>
      <w:r w:rsidRPr="00830C71">
        <w:rPr>
          <w:rFonts w:cs="Arial"/>
          <w:b/>
          <w:sz w:val="16"/>
          <w:szCs w:val="16"/>
          <w:lang w:val="es-ES"/>
        </w:rPr>
        <w:t>subnumeral</w:t>
      </w:r>
      <w:proofErr w:type="spellEnd"/>
      <w:r w:rsidRPr="00830C71">
        <w:rPr>
          <w:rFonts w:cs="Arial"/>
          <w:b/>
          <w:sz w:val="16"/>
          <w:szCs w:val="16"/>
          <w:lang w:val="es-ES"/>
        </w:rPr>
        <w:t xml:space="preserve"> 2.5.2. del Capítulo II del Título III de la Parte II de la presente Circular. </w:t>
      </w:r>
    </w:p>
    <w:p w14:paraId="7062BDCD" w14:textId="77777777" w:rsidR="005B572C" w:rsidRPr="00BA2890" w:rsidRDefault="005B572C" w:rsidP="005B572C">
      <w:pPr>
        <w:rPr>
          <w:rFonts w:cs="Arial"/>
          <w:sz w:val="16"/>
          <w:szCs w:val="16"/>
        </w:rPr>
      </w:pPr>
    </w:p>
    <w:p w14:paraId="17186520" w14:textId="77777777" w:rsidR="005B572C" w:rsidRPr="00BA2890" w:rsidRDefault="005B572C" w:rsidP="005B572C">
      <w:pPr>
        <w:rPr>
          <w:rFonts w:cs="Arial"/>
          <w:sz w:val="16"/>
          <w:szCs w:val="16"/>
        </w:rPr>
      </w:pPr>
      <w:r w:rsidRPr="00BA2890">
        <w:rPr>
          <w:rFonts w:cs="Arial"/>
          <w:sz w:val="16"/>
          <w:szCs w:val="16"/>
        </w:rPr>
        <w:t>1.10.2.2. Metodología de agregación de índices de renta fija para el portafolio de largo plazo del fondo de cesantías.</w:t>
      </w:r>
    </w:p>
    <w:p w14:paraId="1DEC35A6" w14:textId="77777777" w:rsidR="005B572C" w:rsidRPr="00BA2890" w:rsidRDefault="005B572C" w:rsidP="005B572C">
      <w:pPr>
        <w:rPr>
          <w:rFonts w:cs="Arial"/>
          <w:sz w:val="16"/>
          <w:szCs w:val="16"/>
        </w:rPr>
      </w:pPr>
    </w:p>
    <w:p w14:paraId="09D2DD8D" w14:textId="77777777" w:rsidR="005B572C" w:rsidRPr="00BA2890" w:rsidRDefault="005B572C" w:rsidP="005B572C">
      <w:pPr>
        <w:rPr>
          <w:rFonts w:cs="Arial"/>
          <w:sz w:val="16"/>
          <w:szCs w:val="16"/>
        </w:rPr>
      </w:pPr>
      <w:r w:rsidRPr="00BA2890">
        <w:rPr>
          <w:rFonts w:cs="Arial"/>
          <w:sz w:val="16"/>
          <w:szCs w:val="16"/>
        </w:rPr>
        <w:t xml:space="preserve">La metodología de agregación de índices de renta fija busca establecer la forma de cálculo de un referente que se denominará índice agregado de renta fija local (IARFL). </w:t>
      </w:r>
    </w:p>
    <w:p w14:paraId="798A1F32" w14:textId="77777777" w:rsidR="005B572C" w:rsidRPr="00BA2890" w:rsidRDefault="005B572C" w:rsidP="005B572C">
      <w:pPr>
        <w:rPr>
          <w:rFonts w:cs="Arial"/>
          <w:sz w:val="16"/>
          <w:szCs w:val="16"/>
        </w:rPr>
      </w:pPr>
    </w:p>
    <w:p w14:paraId="42DBAB1D" w14:textId="77777777" w:rsidR="005B572C" w:rsidRPr="00BA2890" w:rsidRDefault="005B572C" w:rsidP="005B572C">
      <w:pPr>
        <w:rPr>
          <w:rFonts w:cs="Arial"/>
          <w:sz w:val="16"/>
          <w:szCs w:val="16"/>
        </w:rPr>
      </w:pPr>
      <w:r w:rsidRPr="00BA2890">
        <w:rPr>
          <w:rFonts w:cs="Arial"/>
          <w:sz w:val="16"/>
          <w:szCs w:val="16"/>
        </w:rPr>
        <w:t>1.10.2.2.1. Consideraciones generales del índice agregado de renta fija local (IARFL)</w:t>
      </w:r>
    </w:p>
    <w:p w14:paraId="00404B62" w14:textId="77777777" w:rsidR="005B572C" w:rsidRPr="00BA2890" w:rsidRDefault="005B572C" w:rsidP="005B572C">
      <w:pPr>
        <w:rPr>
          <w:rFonts w:cs="Arial"/>
          <w:sz w:val="16"/>
          <w:szCs w:val="16"/>
        </w:rPr>
      </w:pPr>
    </w:p>
    <w:p w14:paraId="3D98ABE5" w14:textId="77777777" w:rsidR="005B572C" w:rsidRPr="00BA2890" w:rsidRDefault="005B572C" w:rsidP="005B572C">
      <w:pPr>
        <w:rPr>
          <w:rFonts w:cs="Arial"/>
          <w:sz w:val="16"/>
          <w:szCs w:val="16"/>
          <w:lang w:val="es-ES"/>
        </w:rPr>
      </w:pPr>
      <w:r w:rsidRPr="5AD2D8CF">
        <w:rPr>
          <w:rFonts w:cs="Arial"/>
          <w:sz w:val="16"/>
          <w:szCs w:val="16"/>
          <w:lang w:val="es-ES"/>
        </w:rPr>
        <w:t>El IARFL es aplicable únicamente para efectos del cálculo de determinar la rentabilidad mínima el portafolio de largo plazo de los fondos de cesantías.</w:t>
      </w:r>
    </w:p>
    <w:p w14:paraId="25073A00" w14:textId="77777777" w:rsidR="005B572C" w:rsidRPr="00BA2890" w:rsidRDefault="005B572C" w:rsidP="005B572C">
      <w:pPr>
        <w:rPr>
          <w:rFonts w:cs="Arial"/>
          <w:sz w:val="16"/>
          <w:szCs w:val="16"/>
        </w:rPr>
      </w:pPr>
    </w:p>
    <w:p w14:paraId="2148D0A4" w14:textId="77777777" w:rsidR="005B572C" w:rsidRPr="00BA2890" w:rsidRDefault="005B572C" w:rsidP="005B572C">
      <w:pPr>
        <w:rPr>
          <w:rFonts w:cs="Arial"/>
          <w:sz w:val="16"/>
          <w:szCs w:val="16"/>
        </w:rPr>
      </w:pPr>
      <w:r w:rsidRPr="00BA2890">
        <w:rPr>
          <w:rFonts w:cs="Arial"/>
          <w:sz w:val="16"/>
          <w:szCs w:val="16"/>
        </w:rPr>
        <w:t>1.10.2.2.1.1. Nivel inicial</w:t>
      </w:r>
    </w:p>
    <w:p w14:paraId="0178F7BA" w14:textId="77777777" w:rsidR="005B572C" w:rsidRPr="00BA2890" w:rsidRDefault="005B572C" w:rsidP="005B572C">
      <w:pPr>
        <w:rPr>
          <w:rFonts w:cs="Arial"/>
          <w:sz w:val="16"/>
          <w:szCs w:val="16"/>
        </w:rPr>
      </w:pPr>
    </w:p>
    <w:p w14:paraId="18C44D60" w14:textId="77777777" w:rsidR="005B572C" w:rsidRPr="00BA2890" w:rsidRDefault="005B572C" w:rsidP="005B572C">
      <w:pPr>
        <w:rPr>
          <w:rFonts w:cs="Arial"/>
          <w:sz w:val="16"/>
          <w:szCs w:val="16"/>
        </w:rPr>
      </w:pPr>
      <w:r w:rsidRPr="00BA2890">
        <w:rPr>
          <w:rFonts w:cs="Arial"/>
          <w:sz w:val="16"/>
          <w:szCs w:val="16"/>
        </w:rPr>
        <w:t>El nivel inicial del IARFL el 1 de abril de 2019 es de 100</w:t>
      </w:r>
    </w:p>
    <w:p w14:paraId="3DD91532" w14:textId="77777777" w:rsidR="005B572C" w:rsidRPr="00BA2890" w:rsidRDefault="005B572C" w:rsidP="005B572C">
      <w:pPr>
        <w:rPr>
          <w:rFonts w:cs="Arial"/>
          <w:sz w:val="16"/>
          <w:szCs w:val="16"/>
        </w:rPr>
      </w:pPr>
    </w:p>
    <w:p w14:paraId="4C0F02C8" w14:textId="77777777" w:rsidR="005B572C" w:rsidRPr="00BA2890" w:rsidRDefault="005B572C" w:rsidP="005B572C">
      <w:pPr>
        <w:rPr>
          <w:rFonts w:cs="Arial"/>
          <w:sz w:val="16"/>
          <w:szCs w:val="16"/>
        </w:rPr>
      </w:pPr>
      <w:r w:rsidRPr="00BA2890">
        <w:rPr>
          <w:rFonts w:cs="Arial"/>
          <w:sz w:val="16"/>
          <w:szCs w:val="16"/>
        </w:rPr>
        <w:t>1.10.2.2.1.2. Componentes</w:t>
      </w:r>
    </w:p>
    <w:p w14:paraId="76EA8C1E" w14:textId="77777777" w:rsidR="005B572C" w:rsidRPr="00BA2890" w:rsidRDefault="005B572C" w:rsidP="005B572C">
      <w:pPr>
        <w:rPr>
          <w:rFonts w:cs="Arial"/>
          <w:sz w:val="16"/>
          <w:szCs w:val="16"/>
        </w:rPr>
      </w:pPr>
    </w:p>
    <w:p w14:paraId="1F0E5675" w14:textId="77777777" w:rsidR="005B572C" w:rsidRPr="00BA2890" w:rsidRDefault="005B572C" w:rsidP="005B572C">
      <w:pPr>
        <w:rPr>
          <w:rFonts w:cs="Arial"/>
          <w:sz w:val="16"/>
          <w:szCs w:val="16"/>
          <w:lang w:val="es-ES"/>
        </w:rPr>
      </w:pPr>
      <w:r w:rsidRPr="5AD2D8CF">
        <w:rPr>
          <w:rFonts w:cs="Arial"/>
          <w:sz w:val="16"/>
          <w:szCs w:val="16"/>
          <w:lang w:val="es-ES"/>
        </w:rPr>
        <w:t xml:space="preserve">Hasta tanto no exista otro índice de renta fija, que de acuerdo con los criterios establecidos en el </w:t>
      </w:r>
      <w:proofErr w:type="spellStart"/>
      <w:r w:rsidRPr="5AD2D8CF">
        <w:rPr>
          <w:rFonts w:cs="Arial"/>
          <w:sz w:val="16"/>
          <w:szCs w:val="16"/>
          <w:lang w:val="es-ES"/>
        </w:rPr>
        <w:t>subnumeral</w:t>
      </w:r>
      <w:proofErr w:type="spellEnd"/>
      <w:r w:rsidRPr="5AD2D8CF">
        <w:rPr>
          <w:rFonts w:cs="Arial"/>
          <w:sz w:val="16"/>
          <w:szCs w:val="16"/>
          <w:lang w:val="es-ES"/>
        </w:rPr>
        <w:t xml:space="preserve"> 1.10.2.2.1.3., pueda considerarse en el IARFL, el mismo está compuesto por el Índice de Deuda Pública COLTES publicado por la Bolsa de Valores de Colombia - BVC. </w:t>
      </w:r>
    </w:p>
    <w:p w14:paraId="04178E37" w14:textId="77777777" w:rsidR="005B572C" w:rsidRPr="00BA2890" w:rsidRDefault="005B572C" w:rsidP="005B572C">
      <w:pPr>
        <w:rPr>
          <w:rFonts w:cs="Arial"/>
          <w:sz w:val="16"/>
          <w:szCs w:val="16"/>
        </w:rPr>
      </w:pPr>
    </w:p>
    <w:p w14:paraId="16B780F1" w14:textId="77777777" w:rsidR="005B572C" w:rsidRPr="00BA2890" w:rsidRDefault="005B572C" w:rsidP="005B572C">
      <w:pPr>
        <w:rPr>
          <w:rFonts w:cs="Arial"/>
          <w:sz w:val="16"/>
          <w:szCs w:val="16"/>
        </w:rPr>
      </w:pPr>
      <w:r w:rsidRPr="00BA2890">
        <w:rPr>
          <w:rFonts w:cs="Arial"/>
          <w:sz w:val="16"/>
          <w:szCs w:val="16"/>
        </w:rPr>
        <w:t>1.10.2.2.1.3. Criterios de elegibilidad de índices de renta fija local para hacer parte del cálculo del IARFL.</w:t>
      </w:r>
    </w:p>
    <w:p w14:paraId="18DA506E" w14:textId="77777777" w:rsidR="005B572C" w:rsidRPr="00BA2890" w:rsidRDefault="005B572C" w:rsidP="005B572C">
      <w:pPr>
        <w:rPr>
          <w:rFonts w:cs="Arial"/>
          <w:sz w:val="16"/>
          <w:szCs w:val="16"/>
        </w:rPr>
      </w:pPr>
    </w:p>
    <w:p w14:paraId="0A4C4C41" w14:textId="77777777" w:rsidR="005B572C" w:rsidRPr="00BA2890" w:rsidRDefault="005B572C" w:rsidP="005B572C">
      <w:pPr>
        <w:rPr>
          <w:rFonts w:cs="Arial"/>
          <w:sz w:val="16"/>
          <w:szCs w:val="16"/>
        </w:rPr>
      </w:pPr>
      <w:r w:rsidRPr="00BA2890">
        <w:rPr>
          <w:rFonts w:cs="Arial"/>
          <w:sz w:val="16"/>
          <w:szCs w:val="16"/>
        </w:rPr>
        <w:t>Con base en lo establecido en el parágrafo 3 del artículo 2.6.9.1.2 del Decreto 2555 de 2010, los criterios que debe cumplir un índice para hacer parte del IARFL son los siguientes:</w:t>
      </w:r>
    </w:p>
    <w:p w14:paraId="2C16073F" w14:textId="77777777" w:rsidR="005B572C" w:rsidRPr="00BA2890" w:rsidRDefault="005B572C" w:rsidP="005B572C">
      <w:pPr>
        <w:rPr>
          <w:rFonts w:cs="Arial"/>
          <w:sz w:val="16"/>
          <w:szCs w:val="16"/>
        </w:rPr>
      </w:pPr>
    </w:p>
    <w:p w14:paraId="6420C71D" w14:textId="77777777" w:rsidR="005B572C" w:rsidRPr="00BA2890" w:rsidRDefault="005B572C" w:rsidP="005B572C">
      <w:pPr>
        <w:rPr>
          <w:rFonts w:cs="Arial"/>
          <w:sz w:val="16"/>
          <w:szCs w:val="16"/>
          <w:lang w:val="es-ES"/>
        </w:rPr>
      </w:pPr>
      <w:r w:rsidRPr="5AD2D8CF">
        <w:rPr>
          <w:rFonts w:cs="Arial"/>
          <w:sz w:val="16"/>
          <w:szCs w:val="16"/>
          <w:lang w:val="es-ES"/>
        </w:rPr>
        <w:t xml:space="preserve">1.10.2.2.1.3.1. Experiencia del proveedor: el proveedor del índice debe hacer parte del listado de bolsas y entidades reconocidas por la SFC para elaboración de índices, relacionado con el régimen de inversión de los recursos del portafolio de cesantías de que trata el </w:t>
      </w:r>
      <w:proofErr w:type="spellStart"/>
      <w:r w:rsidRPr="5AD2D8CF">
        <w:rPr>
          <w:rFonts w:cs="Arial"/>
          <w:sz w:val="16"/>
          <w:szCs w:val="16"/>
          <w:lang w:val="es-ES"/>
        </w:rPr>
        <w:t>subnumeral</w:t>
      </w:r>
      <w:proofErr w:type="spellEnd"/>
      <w:r w:rsidRPr="5AD2D8CF">
        <w:rPr>
          <w:rFonts w:cs="Arial"/>
          <w:sz w:val="16"/>
          <w:szCs w:val="16"/>
          <w:lang w:val="es-ES"/>
        </w:rPr>
        <w:t xml:space="preserve"> 7.2 del Capítulo II, Título II, Parte I de la presente Circular. </w:t>
      </w:r>
    </w:p>
    <w:p w14:paraId="58838B76" w14:textId="77777777" w:rsidR="005B572C" w:rsidRPr="00BA2890" w:rsidRDefault="005B572C" w:rsidP="005B572C">
      <w:pPr>
        <w:rPr>
          <w:rFonts w:cs="Arial"/>
          <w:sz w:val="16"/>
          <w:szCs w:val="16"/>
        </w:rPr>
      </w:pPr>
    </w:p>
    <w:p w14:paraId="498A053C" w14:textId="77777777" w:rsidR="005B572C" w:rsidRPr="00BA2890" w:rsidRDefault="005B572C" w:rsidP="005B572C">
      <w:pPr>
        <w:rPr>
          <w:rFonts w:cs="Arial"/>
          <w:sz w:val="16"/>
          <w:szCs w:val="16"/>
        </w:rPr>
      </w:pPr>
      <w:r w:rsidRPr="00BA2890">
        <w:rPr>
          <w:rFonts w:cs="Arial"/>
          <w:sz w:val="16"/>
          <w:szCs w:val="16"/>
        </w:rPr>
        <w:t>1.10.2.2.1.3.2. Representatividad: el índice debe reflejar razonablemente el comportamiento del mercado de renta fija local de acuerdo con la duración del portafolio de largo plazo de los fondos de cesantías.</w:t>
      </w:r>
    </w:p>
    <w:p w14:paraId="4EF7A0B1" w14:textId="77777777" w:rsidR="005B572C" w:rsidRPr="00BA2890" w:rsidRDefault="005B572C" w:rsidP="005B572C">
      <w:pPr>
        <w:rPr>
          <w:rFonts w:cs="Arial"/>
          <w:sz w:val="16"/>
          <w:szCs w:val="16"/>
        </w:rPr>
      </w:pPr>
    </w:p>
    <w:p w14:paraId="0CDC9499" w14:textId="77777777" w:rsidR="005B572C" w:rsidRPr="00BA2890" w:rsidRDefault="005B572C" w:rsidP="005B572C">
      <w:pPr>
        <w:rPr>
          <w:rFonts w:cs="Arial"/>
          <w:sz w:val="16"/>
          <w:szCs w:val="16"/>
          <w:lang w:val="es-ES"/>
        </w:rPr>
      </w:pPr>
      <w:r w:rsidRPr="5AD2D8CF">
        <w:rPr>
          <w:rFonts w:cs="Arial"/>
          <w:sz w:val="16"/>
          <w:szCs w:val="16"/>
          <w:lang w:val="es-ES"/>
        </w:rPr>
        <w:t xml:space="preserve">1.10.2.2.1.3.3. Replicabilidad: para índices de deuda pública los mismos deben estar compuestos por títulos admisibles para el régimen de inversión. Para índices de deuda privada, los mismos deben ser replicables mediante un Exchange </w:t>
      </w:r>
      <w:proofErr w:type="spellStart"/>
      <w:r w:rsidRPr="5AD2D8CF">
        <w:rPr>
          <w:rFonts w:cs="Arial"/>
          <w:sz w:val="16"/>
          <w:szCs w:val="16"/>
          <w:lang w:val="es-ES"/>
        </w:rPr>
        <w:t>Traded</w:t>
      </w:r>
      <w:proofErr w:type="spellEnd"/>
      <w:r w:rsidRPr="5AD2D8CF">
        <w:rPr>
          <w:rFonts w:cs="Arial"/>
          <w:sz w:val="16"/>
          <w:szCs w:val="16"/>
          <w:lang w:val="es-ES"/>
        </w:rPr>
        <w:t xml:space="preserve"> </w:t>
      </w:r>
      <w:proofErr w:type="spellStart"/>
      <w:r w:rsidRPr="5AD2D8CF">
        <w:rPr>
          <w:rFonts w:cs="Arial"/>
          <w:sz w:val="16"/>
          <w:szCs w:val="16"/>
          <w:lang w:val="es-ES"/>
        </w:rPr>
        <w:t>Fund</w:t>
      </w:r>
      <w:proofErr w:type="spellEnd"/>
      <w:r w:rsidRPr="5AD2D8CF">
        <w:rPr>
          <w:rFonts w:cs="Arial"/>
          <w:sz w:val="16"/>
          <w:szCs w:val="16"/>
          <w:lang w:val="es-ES"/>
        </w:rPr>
        <w:t xml:space="preserve"> – ETF listado en el mercado doméstico y negociable en moneda local.</w:t>
      </w:r>
    </w:p>
    <w:p w14:paraId="053D7373" w14:textId="77777777" w:rsidR="005B572C" w:rsidRPr="00BA2890" w:rsidRDefault="005B572C" w:rsidP="005B572C">
      <w:pPr>
        <w:rPr>
          <w:rFonts w:cs="Arial"/>
          <w:sz w:val="16"/>
          <w:szCs w:val="16"/>
        </w:rPr>
      </w:pPr>
    </w:p>
    <w:p w14:paraId="2182A94B" w14:textId="77777777" w:rsidR="005B572C" w:rsidRPr="00BA2890" w:rsidRDefault="005B572C" w:rsidP="005B572C">
      <w:pPr>
        <w:rPr>
          <w:rFonts w:cs="Arial"/>
          <w:sz w:val="16"/>
          <w:szCs w:val="16"/>
        </w:rPr>
      </w:pPr>
      <w:r w:rsidRPr="00BA2890">
        <w:rPr>
          <w:rFonts w:cs="Arial"/>
          <w:sz w:val="16"/>
          <w:szCs w:val="16"/>
        </w:rPr>
        <w:t>1.10.2.2.1.3.4. Condiciones mínimas de divulgación: la metodología de construcción del índice debe ser de público conocimiento y disponible para consulta en línea, así como sus políticas de rebalanceo y recomposición.</w:t>
      </w:r>
    </w:p>
    <w:p w14:paraId="2CA563A9" w14:textId="77777777" w:rsidR="005B572C" w:rsidRPr="00BA2890" w:rsidRDefault="005B572C" w:rsidP="005B572C">
      <w:pPr>
        <w:rPr>
          <w:rFonts w:cs="Arial"/>
          <w:sz w:val="16"/>
          <w:szCs w:val="16"/>
        </w:rPr>
      </w:pPr>
    </w:p>
    <w:p w14:paraId="5FED13D3" w14:textId="77777777" w:rsidR="005B572C" w:rsidRPr="00BA2890" w:rsidRDefault="005B572C" w:rsidP="005B572C">
      <w:pPr>
        <w:rPr>
          <w:rFonts w:cs="Arial"/>
          <w:sz w:val="16"/>
          <w:szCs w:val="16"/>
        </w:rPr>
      </w:pPr>
      <w:r w:rsidRPr="00BA2890">
        <w:rPr>
          <w:rFonts w:cs="Arial"/>
          <w:sz w:val="16"/>
          <w:szCs w:val="16"/>
        </w:rPr>
        <w:t>1.10.2.2.1.3.5. Administración: deben estar establecidas las políticas de gobierno corporativo en relación con los procedimientos para administrar los conflictos de interés de los agentes involucrados en la construcción y divulgación del índice hacia el mercado. Esta información debe ser pública y estar disponible para su consulta en línea.</w:t>
      </w:r>
    </w:p>
    <w:p w14:paraId="251E5FCB" w14:textId="77777777" w:rsidR="005B572C" w:rsidRPr="00BA2890" w:rsidRDefault="005B572C" w:rsidP="005B572C">
      <w:pPr>
        <w:rPr>
          <w:rFonts w:cs="Arial"/>
          <w:sz w:val="16"/>
          <w:szCs w:val="16"/>
        </w:rPr>
      </w:pPr>
    </w:p>
    <w:p w14:paraId="194DB5EE" w14:textId="77777777" w:rsidR="005B572C" w:rsidRDefault="005B572C" w:rsidP="005B572C">
      <w:pPr>
        <w:rPr>
          <w:rFonts w:cs="Arial"/>
          <w:sz w:val="16"/>
          <w:szCs w:val="16"/>
          <w:lang w:val="es-ES"/>
        </w:rPr>
      </w:pPr>
      <w:r w:rsidRPr="5AD2D8CF">
        <w:rPr>
          <w:rFonts w:cs="Arial"/>
          <w:sz w:val="16"/>
          <w:szCs w:val="16"/>
          <w:lang w:val="es-ES"/>
        </w:rPr>
        <w:t>1.10.2.2.1.3.6. Disponibilidad de información histórica: el índice debe contar por lo menos con 12 meses de información histórica real. Adicionalmente debe estar disponible información histórica simulada (</w:t>
      </w:r>
      <w:proofErr w:type="spellStart"/>
      <w:r w:rsidRPr="5AD2D8CF">
        <w:rPr>
          <w:rFonts w:cs="Arial"/>
          <w:sz w:val="16"/>
          <w:szCs w:val="16"/>
          <w:lang w:val="es-ES"/>
        </w:rPr>
        <w:t>backtesting</w:t>
      </w:r>
      <w:proofErr w:type="spellEnd"/>
      <w:r w:rsidRPr="5AD2D8CF">
        <w:rPr>
          <w:rFonts w:cs="Arial"/>
          <w:sz w:val="16"/>
          <w:szCs w:val="16"/>
          <w:lang w:val="es-ES"/>
        </w:rPr>
        <w:t>) de 5 años antes del inicio oficial del índice y de la canasta que lo compone. Esta información debe ser pública y estar disponible para su consulta en línea.</w:t>
      </w:r>
    </w:p>
    <w:p w14:paraId="5549345D" w14:textId="77777777" w:rsidR="005B572C" w:rsidRDefault="005B572C" w:rsidP="005B572C">
      <w:pPr>
        <w:rPr>
          <w:rFonts w:cs="Arial"/>
          <w:sz w:val="16"/>
          <w:szCs w:val="16"/>
        </w:rPr>
      </w:pPr>
    </w:p>
    <w:p w14:paraId="746AC9DF" w14:textId="77777777" w:rsidR="005B572C" w:rsidRPr="00830C71" w:rsidRDefault="005B572C" w:rsidP="00830C71">
      <w:pPr>
        <w:widowControl w:val="0"/>
        <w:rPr>
          <w:rFonts w:cs="Arial"/>
          <w:bCs/>
          <w:sz w:val="16"/>
          <w:szCs w:val="16"/>
          <w:lang w:val="es-ES"/>
        </w:rPr>
      </w:pPr>
      <w:r w:rsidRPr="00830C71">
        <w:rPr>
          <w:rFonts w:cs="Arial"/>
          <w:bCs/>
          <w:sz w:val="16"/>
          <w:szCs w:val="16"/>
          <w:lang w:val="es-ES"/>
        </w:rPr>
        <w:t>En los casos en que se modifique el proveedor o la metodología del cálculo de un índice que haga parte del IARFL, la información histórica real debe corresponder a la calculada con la metodología inicial. Asimismo, la nueva metodología debe prever la continuidad en la serie histórica del índice, por lo cual no se requiere la publicación de la información histórica simulada (</w:t>
      </w:r>
      <w:proofErr w:type="spellStart"/>
      <w:r w:rsidRPr="00830C71">
        <w:rPr>
          <w:rFonts w:cs="Arial"/>
          <w:bCs/>
          <w:sz w:val="16"/>
          <w:szCs w:val="16"/>
          <w:lang w:val="es-ES"/>
        </w:rPr>
        <w:t>backtesting</w:t>
      </w:r>
      <w:proofErr w:type="spellEnd"/>
      <w:r w:rsidRPr="00830C71">
        <w:rPr>
          <w:rFonts w:cs="Arial"/>
          <w:bCs/>
          <w:sz w:val="16"/>
          <w:szCs w:val="16"/>
          <w:lang w:val="es-ES"/>
        </w:rPr>
        <w:t>).</w:t>
      </w:r>
    </w:p>
    <w:p w14:paraId="3FCF540B" w14:textId="77777777" w:rsidR="005B572C" w:rsidRPr="00BA2890" w:rsidRDefault="005B572C" w:rsidP="005B572C">
      <w:pPr>
        <w:rPr>
          <w:rFonts w:cs="Arial"/>
          <w:sz w:val="16"/>
          <w:szCs w:val="16"/>
        </w:rPr>
      </w:pPr>
    </w:p>
    <w:p w14:paraId="0FD7F05B" w14:textId="77777777" w:rsidR="005B572C" w:rsidRPr="00BA2890" w:rsidRDefault="005B572C" w:rsidP="005B572C">
      <w:pPr>
        <w:rPr>
          <w:rFonts w:cs="Arial"/>
          <w:sz w:val="16"/>
          <w:szCs w:val="16"/>
        </w:rPr>
      </w:pPr>
      <w:r w:rsidRPr="00BA2890">
        <w:rPr>
          <w:rFonts w:cs="Arial"/>
          <w:sz w:val="16"/>
          <w:szCs w:val="16"/>
        </w:rPr>
        <w:t xml:space="preserve">El incumplimiento de alguno de los anteriores criterios por parte de un índice es causal de su retiro en el cálculo del IARFL. </w:t>
      </w:r>
    </w:p>
    <w:p w14:paraId="6A2C9C09" w14:textId="77777777" w:rsidR="005B572C" w:rsidRPr="00BA2890" w:rsidRDefault="005B572C" w:rsidP="005B572C">
      <w:pPr>
        <w:rPr>
          <w:rFonts w:cs="Arial"/>
          <w:sz w:val="16"/>
          <w:szCs w:val="16"/>
        </w:rPr>
      </w:pPr>
    </w:p>
    <w:p w14:paraId="4C6B0253" w14:textId="77777777" w:rsidR="005B572C" w:rsidRPr="00BA2890" w:rsidRDefault="005B572C" w:rsidP="005B572C">
      <w:pPr>
        <w:rPr>
          <w:rFonts w:cs="Arial"/>
          <w:sz w:val="16"/>
          <w:szCs w:val="16"/>
        </w:rPr>
      </w:pPr>
      <w:r w:rsidRPr="00BA2890">
        <w:rPr>
          <w:rFonts w:cs="Arial"/>
          <w:sz w:val="16"/>
          <w:szCs w:val="16"/>
        </w:rPr>
        <w:t>1.10.2.2.1.4. Divulgación de cambios en los componentes del IARFL</w:t>
      </w:r>
    </w:p>
    <w:p w14:paraId="40450A10" w14:textId="77777777" w:rsidR="005B572C" w:rsidRPr="00BA2890" w:rsidRDefault="005B572C" w:rsidP="005B572C">
      <w:pPr>
        <w:rPr>
          <w:rFonts w:cs="Arial"/>
          <w:sz w:val="16"/>
          <w:szCs w:val="16"/>
        </w:rPr>
      </w:pPr>
    </w:p>
    <w:p w14:paraId="339FCE79" w14:textId="77777777" w:rsidR="005B572C" w:rsidRPr="00BA2890" w:rsidRDefault="005B572C" w:rsidP="005B572C">
      <w:pPr>
        <w:rPr>
          <w:rFonts w:cs="Arial"/>
          <w:sz w:val="16"/>
          <w:szCs w:val="16"/>
          <w:lang w:val="es-ES"/>
        </w:rPr>
      </w:pPr>
      <w:r w:rsidRPr="5AD2D8CF">
        <w:rPr>
          <w:rFonts w:cs="Arial"/>
          <w:sz w:val="16"/>
          <w:szCs w:val="16"/>
          <w:lang w:val="es-ES"/>
        </w:rPr>
        <w:t>La Superintendencia debe informar acerca de la inclusión o exclusión de un índice, así como el momento a partir del cual tiene efecto en el cálculo del IARFL. La inclusión o exclusión de un índice debe proceder mínimo transcurridos 3 meses después de haber sido informado este hecho. No obstante, en el caso de una exclusión, excepcionalmente puede proceder un tiempo menor.</w:t>
      </w:r>
    </w:p>
    <w:p w14:paraId="14C0B673" w14:textId="77777777" w:rsidR="005B572C" w:rsidRPr="00BA2890" w:rsidRDefault="005B572C" w:rsidP="005B572C">
      <w:pPr>
        <w:rPr>
          <w:rFonts w:cs="Arial"/>
          <w:sz w:val="16"/>
          <w:szCs w:val="16"/>
        </w:rPr>
      </w:pPr>
    </w:p>
    <w:p w14:paraId="40241FFC" w14:textId="77777777" w:rsidR="005B572C" w:rsidRPr="00BA2890" w:rsidRDefault="005B572C" w:rsidP="005B572C">
      <w:pPr>
        <w:rPr>
          <w:rFonts w:cs="Arial"/>
          <w:sz w:val="16"/>
          <w:szCs w:val="16"/>
        </w:rPr>
      </w:pPr>
      <w:r w:rsidRPr="00BA2890">
        <w:rPr>
          <w:rFonts w:cs="Arial"/>
          <w:sz w:val="16"/>
          <w:szCs w:val="16"/>
        </w:rPr>
        <w:t>1.10.2.2.2. Metodología de cálculo del índice agregado de renta fija local (IARFL)</w:t>
      </w:r>
    </w:p>
    <w:p w14:paraId="44EBE7F4" w14:textId="77777777" w:rsidR="005B572C" w:rsidRPr="00BA2890" w:rsidRDefault="005B572C" w:rsidP="005B572C">
      <w:pPr>
        <w:rPr>
          <w:rFonts w:cs="Arial"/>
          <w:sz w:val="16"/>
          <w:szCs w:val="16"/>
        </w:rPr>
      </w:pPr>
    </w:p>
    <w:p w14:paraId="292E5A94" w14:textId="77777777" w:rsidR="005B572C" w:rsidRPr="00BA2890" w:rsidRDefault="005B572C" w:rsidP="005B572C">
      <w:pPr>
        <w:rPr>
          <w:rFonts w:cs="Arial"/>
          <w:sz w:val="16"/>
          <w:szCs w:val="16"/>
        </w:rPr>
      </w:pPr>
      <w:r w:rsidRPr="00BA2890">
        <w:rPr>
          <w:rFonts w:cs="Arial"/>
          <w:sz w:val="16"/>
          <w:szCs w:val="16"/>
        </w:rPr>
        <w:t>1.10.2.2.2.1. Determinación del IARFL</w:t>
      </w:r>
    </w:p>
    <w:p w14:paraId="7255988F" w14:textId="77777777" w:rsidR="005B572C" w:rsidRPr="00BA2890" w:rsidRDefault="005B572C" w:rsidP="005B572C">
      <w:pPr>
        <w:rPr>
          <w:rFonts w:cs="Arial"/>
          <w:sz w:val="16"/>
          <w:szCs w:val="16"/>
        </w:rPr>
      </w:pPr>
    </w:p>
    <w:p w14:paraId="4917AC13" w14:textId="77777777" w:rsidR="00830C71" w:rsidRDefault="005B572C" w:rsidP="005B572C">
      <w:pPr>
        <w:rPr>
          <w:rFonts w:cs="Arial"/>
          <w:sz w:val="16"/>
          <w:szCs w:val="16"/>
        </w:rPr>
      </w:pPr>
      <w:r w:rsidRPr="00BA2890">
        <w:rPr>
          <w:rFonts w:cs="Arial"/>
          <w:sz w:val="16"/>
          <w:szCs w:val="16"/>
        </w:rPr>
        <w:t>El IARFL se calcula mensualmente en función del valor de sus componentes al último día hábil de cada mes. El valor del IARFL se obtiene a partir de su nivel en el mes anterior afectado por la variación porcentual mensual de cada índice que lo conforma, ponderada por su porcentaje de participación, como se muestra a continuación:</w:t>
      </w:r>
    </w:p>
    <w:p w14:paraId="17604238" w14:textId="77777777" w:rsidR="003D5638" w:rsidRDefault="003D5638" w:rsidP="005B572C">
      <w:pPr>
        <w:rPr>
          <w:rFonts w:cs="Arial"/>
          <w:sz w:val="16"/>
          <w:szCs w:val="16"/>
        </w:rPr>
        <w:sectPr w:rsidR="003D5638" w:rsidSect="00D328C2">
          <w:headerReference w:type="default" r:id="rId11"/>
          <w:footerReference w:type="default" r:id="rId12"/>
          <w:pgSz w:w="12240" w:h="18720" w:code="14"/>
          <w:pgMar w:top="1418" w:right="1701" w:bottom="1418" w:left="1701" w:header="1134" w:footer="1134" w:gutter="0"/>
          <w:pgNumType w:start="10"/>
          <w:cols w:space="708"/>
          <w:docGrid w:linePitch="360"/>
        </w:sectPr>
      </w:pPr>
    </w:p>
    <w:p w14:paraId="58CA9A03" w14:textId="77777777" w:rsidR="005B572C" w:rsidRPr="00BA2890" w:rsidRDefault="005B572C" w:rsidP="005B572C">
      <w:pPr>
        <w:rPr>
          <w:rFonts w:cs="Arial"/>
          <w:sz w:val="16"/>
          <w:szCs w:val="16"/>
        </w:rPr>
      </w:pPr>
    </w:p>
    <w:p w14:paraId="6F834CDD" w14:textId="77777777" w:rsidR="005B572C" w:rsidRPr="00BA2890" w:rsidRDefault="005B572C" w:rsidP="005B572C">
      <w:pPr>
        <w:rPr>
          <w:rFonts w:cs="Arial"/>
          <w:sz w:val="16"/>
          <w:szCs w:val="16"/>
        </w:rPr>
      </w:pPr>
    </w:p>
    <w:p w14:paraId="1B28AA15" w14:textId="77777777" w:rsidR="005B572C" w:rsidRPr="00BA2890" w:rsidRDefault="00000000" w:rsidP="005B572C">
      <w:pPr>
        <w:rPr>
          <w:rFonts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IARFL</m:t>
              </m:r>
            </m:e>
            <m:sub>
              <m:r>
                <w:rPr>
                  <w:rFonts w:ascii="Cambria Math" w:hAnsi="Cambria Math" w:cs="Arial"/>
                  <w:sz w:val="16"/>
                  <w:szCs w:val="16"/>
                </w:rPr>
                <m:t>j</m:t>
              </m:r>
            </m:sub>
          </m:sSub>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IARFL</m:t>
              </m:r>
            </m:e>
            <m:sub>
              <m:r>
                <w:rPr>
                  <w:rFonts w:ascii="Cambria Math" w:hAnsi="Cambria Math" w:cs="Arial"/>
                  <w:sz w:val="16"/>
                  <w:szCs w:val="16"/>
                </w:rPr>
                <m:t>j-1</m:t>
              </m:r>
            </m:sub>
          </m:sSub>
          <m:r>
            <w:rPr>
              <w:rFonts w:ascii="Cambria Math" w:hAnsi="Cambria Math" w:cs="Arial"/>
              <w:sz w:val="16"/>
              <w:szCs w:val="16"/>
            </w:rPr>
            <m:t>*</m:t>
          </m:r>
          <m:d>
            <m:dPr>
              <m:ctrlPr>
                <w:rPr>
                  <w:rFonts w:ascii="Cambria Math" w:hAnsi="Cambria Math" w:cs="Arial"/>
                  <w:i/>
                  <w:sz w:val="16"/>
                  <w:szCs w:val="16"/>
                </w:rPr>
              </m:ctrlPr>
            </m:dPr>
            <m:e>
              <m:r>
                <w:rPr>
                  <w:rFonts w:ascii="Cambria Math" w:hAnsi="Cambria Math" w:cs="Arial"/>
                  <w:sz w:val="16"/>
                  <w:szCs w:val="16"/>
                </w:rPr>
                <m:t>1+</m:t>
              </m:r>
              <m:nary>
                <m:naryPr>
                  <m:chr m:val="∑"/>
                  <m:limLoc m:val="undOvr"/>
                  <m:ctrlPr>
                    <w:rPr>
                      <w:rFonts w:ascii="Cambria Math" w:hAnsi="Cambria Math" w:cs="Arial"/>
                      <w:i/>
                      <w:sz w:val="16"/>
                      <w:szCs w:val="16"/>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hAnsi="Cambria Math" w:cs="Arial"/>
                          <w:i/>
                          <w:sz w:val="16"/>
                          <w:szCs w:val="16"/>
                        </w:rPr>
                      </m:ctrlPr>
                    </m:sSubPr>
                    <m:e>
                      <m:r>
                        <w:rPr>
                          <w:rFonts w:ascii="Cambria Math" w:hAnsi="Cambria Math" w:cs="Arial"/>
                          <w:sz w:val="16"/>
                          <w:szCs w:val="16"/>
                        </w:rPr>
                        <m:t>β</m:t>
                      </m:r>
                    </m:e>
                    <m:sub>
                      <m:r>
                        <w:rPr>
                          <w:rFonts w:ascii="Cambria Math" w:hAnsi="Cambria Math" w:cs="Arial"/>
                          <w:sz w:val="16"/>
                          <w:szCs w:val="16"/>
                        </w:rPr>
                        <m:t>ij</m:t>
                      </m:r>
                    </m:sub>
                  </m:sSub>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V</m:t>
                      </m:r>
                    </m:e>
                    <m:sub>
                      <m:r>
                        <w:rPr>
                          <w:rFonts w:ascii="Cambria Math" w:hAnsi="Cambria Math" w:cs="Arial"/>
                          <w:sz w:val="16"/>
                          <w:szCs w:val="16"/>
                        </w:rPr>
                        <m:t>ij</m:t>
                      </m:r>
                    </m:sub>
                  </m:sSub>
                </m:e>
              </m:nary>
            </m:e>
          </m:d>
        </m:oMath>
      </m:oMathPara>
    </w:p>
    <w:p w14:paraId="02119B69" w14:textId="77777777" w:rsidR="005B572C" w:rsidRPr="00BA2890" w:rsidRDefault="005B572C" w:rsidP="005B572C">
      <w:pPr>
        <w:rPr>
          <w:rFonts w:cs="Arial"/>
          <w:sz w:val="16"/>
          <w:szCs w:val="16"/>
        </w:rPr>
      </w:pPr>
    </w:p>
    <w:p w14:paraId="040D5A41" w14:textId="35AD22B7" w:rsidR="000F1D01" w:rsidRDefault="005B572C" w:rsidP="000F1D01">
      <w:pPr>
        <w:rPr>
          <w:rFonts w:cs="Arial"/>
          <w:sz w:val="16"/>
          <w:szCs w:val="16"/>
        </w:rPr>
      </w:pPr>
      <w:r w:rsidRPr="00BA2890">
        <w:rPr>
          <w:rFonts w:cs="Arial"/>
          <w:sz w:val="16"/>
          <w:szCs w:val="16"/>
        </w:rPr>
        <w:t>Donde:</w:t>
      </w:r>
      <w:r w:rsidR="000F1D01">
        <w:rPr>
          <w:rFonts w:cs="Arial"/>
          <w:sz w:val="16"/>
          <w:szCs w:val="16"/>
        </w:rPr>
        <w:t xml:space="preserve"> </w:t>
      </w:r>
    </w:p>
    <w:p w14:paraId="461F78E8" w14:textId="77777777" w:rsidR="00E1514B" w:rsidRPr="00830C71" w:rsidRDefault="00E1514B" w:rsidP="00830C71">
      <w:pPr>
        <w:rPr>
          <w:rFonts w:cs="Arial"/>
          <w:bCs/>
          <w:sz w:val="16"/>
          <w:szCs w:val="16"/>
        </w:rPr>
      </w:pPr>
      <w:r w:rsidRPr="00830C71">
        <w:rPr>
          <w:rFonts w:cs="Arial"/>
          <w:bCs/>
          <w:position w:val="-14"/>
          <w:sz w:val="16"/>
          <w:szCs w:val="16"/>
        </w:rPr>
        <w:object w:dxaOrig="279" w:dyaOrig="380" w14:anchorId="461F7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5pt;height:18.9pt" o:ole="">
            <v:imagedata r:id="rId13" o:title=""/>
          </v:shape>
          <o:OLEObject Type="Embed" ProgID="Equation.3" ShapeID="_x0000_i1025" DrawAspect="Content" ObjectID="_1784450738" r:id="rId14"/>
        </w:object>
      </w:r>
      <w:r w:rsidRPr="00830C71">
        <w:rPr>
          <w:rFonts w:cs="Arial"/>
          <w:bCs/>
          <w:sz w:val="16"/>
          <w:szCs w:val="16"/>
        </w:rPr>
        <w:fldChar w:fldCharType="begin"/>
      </w:r>
      <w:r w:rsidRPr="00830C71">
        <w:rPr>
          <w:rFonts w:cs="Arial"/>
          <w:bCs/>
          <w:sz w:val="16"/>
          <w:szCs w:val="16"/>
        </w:rPr>
        <w:instrText xml:space="preserve"> QUOTE </w:instrText>
      </w:r>
      <m:oMath>
        <m:sSub>
          <m:sSubPr>
            <m:ctrlPr>
              <w:rPr>
                <w:rFonts w:ascii="Cambria Math" w:hAnsi="Cambria Math" w:cs="Arial"/>
                <w:bCs/>
                <w:i/>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i</m:t>
            </m:r>
          </m:sub>
        </m:sSub>
      </m:oMath>
      <w:r w:rsidRPr="00830C71">
        <w:rPr>
          <w:rFonts w:cs="Arial"/>
          <w:bCs/>
          <w:sz w:val="16"/>
          <w:szCs w:val="16"/>
        </w:rPr>
        <w:instrText xml:space="preserve"> </w:instrText>
      </w:r>
      <w:r w:rsidRPr="00830C71">
        <w:rPr>
          <w:rFonts w:cs="Arial"/>
          <w:bCs/>
          <w:sz w:val="16"/>
          <w:szCs w:val="16"/>
        </w:rPr>
        <w:fldChar w:fldCharType="end"/>
      </w:r>
      <w:r w:rsidRPr="00830C71">
        <w:rPr>
          <w:rFonts w:cs="Arial"/>
          <w:bCs/>
          <w:sz w:val="16"/>
          <w:szCs w:val="16"/>
        </w:rPr>
        <w:t xml:space="preserve">: Variación porcentual mensual del índice </w:t>
      </w:r>
      <w:r w:rsidRPr="00830C71">
        <w:rPr>
          <w:rFonts w:cs="Arial"/>
          <w:bCs/>
          <w:position w:val="-6"/>
          <w:sz w:val="16"/>
          <w:szCs w:val="16"/>
        </w:rPr>
        <w:object w:dxaOrig="139" w:dyaOrig="260" w14:anchorId="461F794D">
          <v:shape id="_x0000_i1026" type="#_x0000_t75" style="width:6.85pt;height:11.4pt" o:ole="">
            <v:imagedata r:id="rId15" o:title=""/>
          </v:shape>
          <o:OLEObject Type="Embed" ProgID="Equation.3" ShapeID="_x0000_i1026" DrawAspect="Content" ObjectID="_1784450739" r:id="rId16"/>
        </w:object>
      </w:r>
      <w:r w:rsidRPr="00830C71">
        <w:rPr>
          <w:rFonts w:cs="Arial"/>
          <w:bCs/>
          <w:sz w:val="16"/>
          <w:szCs w:val="16"/>
        </w:rPr>
        <w:t xml:space="preserve"> en el mes </w:t>
      </w:r>
      <w:r w:rsidRPr="00DA24EA">
        <w:rPr>
          <w:rFonts w:cs="Arial"/>
          <w:bCs/>
          <w:position w:val="-10"/>
          <w:sz w:val="24"/>
          <w:szCs w:val="24"/>
        </w:rPr>
        <w:object w:dxaOrig="200" w:dyaOrig="300" w14:anchorId="461F794E">
          <v:shape id="_x0000_i1027" type="#_x0000_t75" style="width:8.15pt;height:15pt" o:ole="">
            <v:imagedata r:id="rId17" o:title=""/>
          </v:shape>
          <o:OLEObject Type="Embed" ProgID="Equation.3" ShapeID="_x0000_i1027" DrawAspect="Content" ObjectID="_1784450740" r:id="rId18"/>
        </w:object>
      </w:r>
      <w:r w:rsidRPr="00DA24EA">
        <w:rPr>
          <w:rFonts w:cs="Arial"/>
          <w:bCs/>
          <w:sz w:val="24"/>
          <w:szCs w:val="24"/>
        </w:rPr>
        <w:t xml:space="preserve">, </w:t>
      </w:r>
      <w:r w:rsidRPr="00830C71">
        <w:rPr>
          <w:rFonts w:cs="Arial"/>
          <w:bCs/>
          <w:sz w:val="16"/>
          <w:szCs w:val="16"/>
        </w:rPr>
        <w:t xml:space="preserve">calculado como:  </w:t>
      </w:r>
      <w:r w:rsidRPr="00830C71">
        <w:rPr>
          <w:rFonts w:cs="Arial"/>
          <w:bCs/>
          <w:position w:val="-34"/>
          <w:sz w:val="16"/>
          <w:szCs w:val="16"/>
        </w:rPr>
        <w:object w:dxaOrig="2700" w:dyaOrig="800" w14:anchorId="461F794F">
          <v:shape id="_x0000_i1028" type="#_x0000_t75" style="width:132.6pt;height:40.4pt" o:ole="">
            <v:imagedata r:id="rId19" o:title=""/>
          </v:shape>
          <o:OLEObject Type="Embed" ProgID="Equation.3" ShapeID="_x0000_i1028" DrawAspect="Content" ObjectID="_1784450741" r:id="rId20"/>
        </w:object>
      </w:r>
    </w:p>
    <w:p w14:paraId="461F78E9" w14:textId="77777777" w:rsidR="00E1514B" w:rsidRPr="00830C71" w:rsidRDefault="00E1514B" w:rsidP="00830C71">
      <w:pPr>
        <w:rPr>
          <w:rFonts w:cs="Arial"/>
          <w:bCs/>
          <w:sz w:val="16"/>
          <w:szCs w:val="16"/>
        </w:rPr>
      </w:pPr>
      <w:r w:rsidRPr="00DA24EA">
        <w:rPr>
          <w:rFonts w:cs="Arial"/>
          <w:bCs/>
          <w:sz w:val="16"/>
          <w:szCs w:val="16"/>
        </w:rPr>
        <w:fldChar w:fldCharType="begin"/>
      </w:r>
      <w:r w:rsidRPr="00830C71">
        <w:rPr>
          <w:rFonts w:cs="Arial"/>
          <w:bCs/>
          <w:sz w:val="16"/>
          <w:szCs w:val="16"/>
        </w:rPr>
        <w:instrText xml:space="preserve"> QUOTE </w:instrText>
      </w:r>
      <m:oMath>
        <m:sSub>
          <m:sSubPr>
            <m:ctrlPr>
              <w:rPr>
                <w:rFonts w:ascii="Cambria Math" w:hAnsi="Cambria Math" w:cs="Arial"/>
                <w:bCs/>
                <w:i/>
                <w:sz w:val="16"/>
                <w:szCs w:val="16"/>
              </w:rPr>
            </m:ctrlPr>
          </m:sSubPr>
          <m:e>
            <m:r>
              <m:rPr>
                <m:sty m:val="p"/>
              </m:rPr>
              <w:rPr>
                <w:rFonts w:ascii="Cambria Math" w:hAnsi="Cambria Math" w:cs="Arial"/>
                <w:sz w:val="16"/>
                <w:szCs w:val="16"/>
              </w:rPr>
              <m:t>β</m:t>
            </m:r>
          </m:e>
          <m:sub>
            <m:r>
              <m:rPr>
                <m:sty m:val="p"/>
              </m:rPr>
              <w:rPr>
                <w:rFonts w:ascii="Cambria Math" w:hAnsi="Cambria Math" w:cs="Arial"/>
                <w:sz w:val="16"/>
                <w:szCs w:val="16"/>
              </w:rPr>
              <m:t>i</m:t>
            </m:r>
          </m:sub>
        </m:sSub>
        <m:r>
          <m:rPr>
            <m:sty m:val="p"/>
          </m:rPr>
          <w:rPr>
            <w:rFonts w:ascii="Cambria Math" w:hAnsi="Cambria Math" w:cs="Arial"/>
            <w:sz w:val="16"/>
            <w:szCs w:val="16"/>
          </w:rPr>
          <m:t xml:space="preserve"> </m:t>
        </m:r>
      </m:oMath>
      <w:r w:rsidRPr="00830C71">
        <w:rPr>
          <w:rFonts w:cs="Arial"/>
          <w:bCs/>
          <w:sz w:val="16"/>
          <w:szCs w:val="16"/>
        </w:rPr>
        <w:instrText xml:space="preserve"> </w:instrText>
      </w:r>
      <w:r w:rsidRPr="00DA24EA">
        <w:rPr>
          <w:rFonts w:cs="Arial"/>
          <w:bCs/>
          <w:sz w:val="16"/>
          <w:szCs w:val="16"/>
        </w:rPr>
        <w:fldChar w:fldCharType="separate"/>
      </w:r>
      <w:r w:rsidRPr="00830C71">
        <w:rPr>
          <w:rFonts w:cs="Arial"/>
          <w:bCs/>
          <w:sz w:val="16"/>
          <w:szCs w:val="16"/>
        </w:rPr>
        <w:object w:dxaOrig="300" w:dyaOrig="380" w14:anchorId="461F7950">
          <v:shape id="_x0000_i1029" type="#_x0000_t75" style="width:15pt;height:18.9pt" o:ole="">
            <v:imagedata r:id="rId21" o:title=""/>
          </v:shape>
          <o:OLEObject Type="Embed" ProgID="Equation.3" ShapeID="_x0000_i1029" DrawAspect="Content" ObjectID="_1784450742" r:id="rId22"/>
        </w:object>
      </w:r>
      <w:r w:rsidRPr="00DA24EA">
        <w:rPr>
          <w:rFonts w:cs="Arial"/>
          <w:bCs/>
          <w:sz w:val="16"/>
          <w:szCs w:val="16"/>
        </w:rPr>
        <w:fldChar w:fldCharType="end"/>
      </w:r>
      <w:r w:rsidRPr="00830C71">
        <w:rPr>
          <w:rFonts w:cs="Arial"/>
          <w:bCs/>
          <w:sz w:val="16"/>
          <w:szCs w:val="16"/>
        </w:rPr>
        <w:t xml:space="preserve">: Ponderación porcentual del índice </w:t>
      </w:r>
      <w:r w:rsidRPr="00830C71">
        <w:rPr>
          <w:rFonts w:cs="Arial"/>
          <w:bCs/>
          <w:sz w:val="16"/>
          <w:szCs w:val="16"/>
        </w:rPr>
        <w:object w:dxaOrig="139" w:dyaOrig="260" w14:anchorId="461F7951">
          <v:shape id="_x0000_i1030" type="#_x0000_t75" style="width:6.85pt;height:11.4pt" o:ole="">
            <v:imagedata r:id="rId23" o:title=""/>
          </v:shape>
          <o:OLEObject Type="Embed" ProgID="Equation.3" ShapeID="_x0000_i1030" DrawAspect="Content" ObjectID="_1784450743" r:id="rId24"/>
        </w:object>
      </w:r>
      <w:r w:rsidRPr="00830C71">
        <w:rPr>
          <w:rFonts w:cs="Arial"/>
          <w:bCs/>
          <w:sz w:val="16"/>
          <w:szCs w:val="16"/>
        </w:rPr>
        <w:t xml:space="preserve"> en el mes </w:t>
      </w:r>
      <w:r w:rsidRPr="00DA24EA">
        <w:rPr>
          <w:rFonts w:cs="Arial"/>
          <w:bCs/>
          <w:sz w:val="16"/>
          <w:szCs w:val="16"/>
        </w:rPr>
        <w:object w:dxaOrig="200" w:dyaOrig="300" w14:anchorId="461F7952">
          <v:shape id="_x0000_i1031" type="#_x0000_t75" style="width:8.15pt;height:15pt" o:ole="">
            <v:imagedata r:id="rId25" o:title=""/>
          </v:shape>
          <o:OLEObject Type="Embed" ProgID="Equation.3" ShapeID="_x0000_i1031" DrawAspect="Content" ObjectID="_1784450744" r:id="rId26"/>
        </w:object>
      </w:r>
    </w:p>
    <w:p w14:paraId="461F78EA" w14:textId="77777777" w:rsidR="00E1514B" w:rsidRPr="00830C71" w:rsidRDefault="00E1514B" w:rsidP="00830C71">
      <w:pPr>
        <w:rPr>
          <w:rFonts w:cs="Arial"/>
          <w:bCs/>
          <w:sz w:val="16"/>
          <w:szCs w:val="16"/>
        </w:rPr>
      </w:pPr>
      <w:r w:rsidRPr="00830C71">
        <w:rPr>
          <w:rFonts w:cs="Arial"/>
          <w:bCs/>
          <w:sz w:val="16"/>
          <w:szCs w:val="16"/>
        </w:rPr>
        <w:object w:dxaOrig="200" w:dyaOrig="220" w14:anchorId="461F7953">
          <v:shape id="_x0000_i1032" type="#_x0000_t75" style="width:8.15pt;height:11.4pt" o:ole="">
            <v:imagedata r:id="rId27" o:title=""/>
          </v:shape>
          <o:OLEObject Type="Embed" ProgID="Equation.3" ShapeID="_x0000_i1032" DrawAspect="Content" ObjectID="_1784450745" r:id="rId28"/>
        </w:object>
      </w:r>
      <w:r w:rsidRPr="00830C71">
        <w:rPr>
          <w:rFonts w:cs="Arial"/>
          <w:bCs/>
          <w:sz w:val="16"/>
          <w:szCs w:val="16"/>
        </w:rPr>
        <w:t xml:space="preserve">: Número de índices a ponderar en el mes </w:t>
      </w:r>
      <w:r w:rsidRPr="00DA24EA">
        <w:rPr>
          <w:rFonts w:cs="Arial"/>
          <w:bCs/>
          <w:sz w:val="16"/>
          <w:szCs w:val="16"/>
        </w:rPr>
        <w:object w:dxaOrig="200" w:dyaOrig="300" w14:anchorId="461F7954">
          <v:shape id="_x0000_i1033" type="#_x0000_t75" style="width:8.15pt;height:15pt" o:ole="">
            <v:imagedata r:id="rId25" o:title=""/>
          </v:shape>
          <o:OLEObject Type="Embed" ProgID="Equation.3" ShapeID="_x0000_i1033" DrawAspect="Content" ObjectID="_1784450746" r:id="rId29"/>
        </w:object>
      </w:r>
    </w:p>
    <w:p w14:paraId="461F78EB" w14:textId="77777777" w:rsidR="00E1514B" w:rsidRPr="00830C71" w:rsidRDefault="00E1514B" w:rsidP="00830C71">
      <w:pPr>
        <w:rPr>
          <w:rFonts w:cs="Arial"/>
          <w:bCs/>
          <w:sz w:val="16"/>
          <w:szCs w:val="16"/>
        </w:rPr>
      </w:pPr>
    </w:p>
    <w:p w14:paraId="461F78EC" w14:textId="77777777" w:rsidR="00E1514B" w:rsidRPr="00830C71" w:rsidRDefault="00E1514B" w:rsidP="00830C71">
      <w:pPr>
        <w:rPr>
          <w:rFonts w:cs="Arial"/>
          <w:bCs/>
          <w:sz w:val="16"/>
          <w:szCs w:val="16"/>
        </w:rPr>
      </w:pPr>
      <w:r w:rsidRPr="00830C71">
        <w:rPr>
          <w:rFonts w:cs="Arial"/>
          <w:bCs/>
          <w:sz w:val="16"/>
          <w:szCs w:val="16"/>
        </w:rPr>
        <w:t>Para todos los casos:</w:t>
      </w:r>
    </w:p>
    <w:p w14:paraId="461F78ED" w14:textId="77777777" w:rsidR="00E1514B" w:rsidRPr="00830C71" w:rsidRDefault="00E1514B" w:rsidP="00830C71">
      <w:pPr>
        <w:jc w:val="center"/>
        <w:rPr>
          <w:rFonts w:cs="Arial"/>
          <w:bCs/>
          <w:sz w:val="16"/>
          <w:szCs w:val="16"/>
        </w:rPr>
      </w:pPr>
      <w:r w:rsidRPr="00830C71">
        <w:rPr>
          <w:rFonts w:cs="Arial"/>
          <w:bCs/>
          <w:sz w:val="16"/>
          <w:szCs w:val="16"/>
        </w:rPr>
        <w:object w:dxaOrig="1400" w:dyaOrig="680" w14:anchorId="461F7955">
          <v:shape id="_x0000_i1034" type="#_x0000_t75" style="width:68.1pt;height:34.55pt" o:ole="">
            <v:imagedata r:id="rId30" o:title=""/>
          </v:shape>
          <o:OLEObject Type="Embed" ProgID="Equation.3" ShapeID="_x0000_i1034" DrawAspect="Content" ObjectID="_1784450747" r:id="rId31"/>
        </w:object>
      </w:r>
    </w:p>
    <w:p w14:paraId="461F78EE" w14:textId="77777777" w:rsidR="00E1514B" w:rsidRPr="00830C71" w:rsidRDefault="00E1514B" w:rsidP="00830C71">
      <w:pPr>
        <w:rPr>
          <w:rFonts w:cs="Arial"/>
          <w:bCs/>
          <w:sz w:val="16"/>
          <w:szCs w:val="16"/>
        </w:rPr>
      </w:pPr>
    </w:p>
    <w:p w14:paraId="461F78EF" w14:textId="77777777" w:rsidR="00E1514B" w:rsidRPr="00830C71" w:rsidRDefault="00E1514B" w:rsidP="00830C71">
      <w:pPr>
        <w:rPr>
          <w:rFonts w:cs="Arial"/>
          <w:bCs/>
          <w:sz w:val="16"/>
          <w:szCs w:val="16"/>
        </w:rPr>
      </w:pPr>
      <w:r w:rsidRPr="00830C71">
        <w:rPr>
          <w:rFonts w:cs="Arial"/>
          <w:bCs/>
          <w:sz w:val="16"/>
          <w:szCs w:val="16"/>
        </w:rPr>
        <w:t>1.10.2.2.2.2. Cálculo de la ponderación de los índices que hacen parte del IARFL</w:t>
      </w:r>
    </w:p>
    <w:p w14:paraId="461F78F0" w14:textId="77777777" w:rsidR="00E1514B" w:rsidRPr="00830C71" w:rsidRDefault="00E1514B" w:rsidP="00830C71">
      <w:pPr>
        <w:rPr>
          <w:rFonts w:cs="Arial"/>
          <w:bCs/>
          <w:sz w:val="16"/>
          <w:szCs w:val="16"/>
        </w:rPr>
      </w:pPr>
      <w:r w:rsidRPr="00830C71">
        <w:rPr>
          <w:rFonts w:cs="Arial"/>
          <w:bCs/>
          <w:sz w:val="16"/>
          <w:szCs w:val="16"/>
        </w:rPr>
        <w:t xml:space="preserve">La ponderación </w:t>
      </w:r>
      <w:r w:rsidRPr="00830C71">
        <w:rPr>
          <w:rFonts w:cs="Arial"/>
          <w:bCs/>
          <w:sz w:val="16"/>
          <w:szCs w:val="16"/>
        </w:rPr>
        <w:object w:dxaOrig="300" w:dyaOrig="380" w14:anchorId="461F7956">
          <v:shape id="_x0000_i1035" type="#_x0000_t75" style="width:15pt;height:18.9pt" o:ole="">
            <v:imagedata r:id="rId32" o:title=""/>
          </v:shape>
          <o:OLEObject Type="Embed" ProgID="Equation.3" ShapeID="_x0000_i1035" DrawAspect="Content" ObjectID="_1784450748" r:id="rId33"/>
        </w:object>
      </w:r>
      <w:r w:rsidRPr="00830C71">
        <w:rPr>
          <w:rFonts w:cs="Arial"/>
          <w:bCs/>
          <w:sz w:val="16"/>
          <w:szCs w:val="16"/>
        </w:rPr>
        <w:t>de cada índice mensualmente hasta completar el tiempo del período de cálculo se determina así:</w:t>
      </w:r>
    </w:p>
    <w:p w14:paraId="461F78F1" w14:textId="77777777" w:rsidR="00E1514B" w:rsidRPr="00830C71" w:rsidRDefault="00E1514B" w:rsidP="00830C71">
      <w:pPr>
        <w:jc w:val="center"/>
        <w:rPr>
          <w:rFonts w:cs="Arial"/>
          <w:bCs/>
          <w:sz w:val="16"/>
          <w:szCs w:val="16"/>
        </w:rPr>
      </w:pPr>
      <w:r w:rsidRPr="00830C71">
        <w:rPr>
          <w:rFonts w:cs="Arial"/>
          <w:bCs/>
          <w:sz w:val="16"/>
          <w:szCs w:val="16"/>
        </w:rPr>
        <w:object w:dxaOrig="1400" w:dyaOrig="380" w14:anchorId="461F7957">
          <v:shape id="_x0000_i1036" type="#_x0000_t75" style="width:68.1pt;height:18.9pt" o:ole="">
            <v:imagedata r:id="rId34" o:title=""/>
          </v:shape>
          <o:OLEObject Type="Embed" ProgID="Equation.3" ShapeID="_x0000_i1036" DrawAspect="Content" ObjectID="_1784450749" r:id="rId35"/>
        </w:object>
      </w:r>
    </w:p>
    <w:p w14:paraId="461F78F2" w14:textId="77777777" w:rsidR="00E1514B" w:rsidRPr="00830C71" w:rsidRDefault="00E1514B" w:rsidP="00830C71">
      <w:pPr>
        <w:rPr>
          <w:rFonts w:cs="Arial"/>
          <w:bCs/>
          <w:sz w:val="16"/>
          <w:szCs w:val="16"/>
        </w:rPr>
      </w:pPr>
    </w:p>
    <w:p w14:paraId="461F78F3" w14:textId="77777777" w:rsidR="00E1514B" w:rsidRPr="00830C71" w:rsidRDefault="00E1514B" w:rsidP="00830C71">
      <w:pPr>
        <w:jc w:val="center"/>
        <w:rPr>
          <w:rFonts w:cs="Arial"/>
          <w:bCs/>
          <w:sz w:val="16"/>
          <w:szCs w:val="16"/>
        </w:rPr>
      </w:pPr>
      <w:r w:rsidRPr="00830C71">
        <w:rPr>
          <w:rFonts w:cs="Arial"/>
          <w:bCs/>
          <w:sz w:val="16"/>
          <w:szCs w:val="16"/>
        </w:rPr>
        <w:object w:dxaOrig="2020" w:dyaOrig="680" w14:anchorId="461F7958">
          <v:shape id="_x0000_i1037" type="#_x0000_t75" style="width:98.4pt;height:34.55pt" o:ole="">
            <v:imagedata r:id="rId36" o:title=""/>
          </v:shape>
          <o:OLEObject Type="Embed" ProgID="Equation.3" ShapeID="_x0000_i1037" DrawAspect="Content" ObjectID="_1784450750" r:id="rId37"/>
        </w:object>
      </w:r>
    </w:p>
    <w:p w14:paraId="461F78F4" w14:textId="77777777" w:rsidR="00E1514B" w:rsidRPr="00830C71" w:rsidRDefault="00E1514B" w:rsidP="00830C71">
      <w:pPr>
        <w:rPr>
          <w:rFonts w:cs="Arial"/>
          <w:bCs/>
          <w:sz w:val="16"/>
          <w:szCs w:val="16"/>
        </w:rPr>
      </w:pPr>
    </w:p>
    <w:p w14:paraId="461F78F5" w14:textId="77777777" w:rsidR="00E1514B" w:rsidRPr="00830C71" w:rsidRDefault="00E1514B" w:rsidP="00830C71">
      <w:pPr>
        <w:rPr>
          <w:rFonts w:cs="Arial"/>
          <w:bCs/>
          <w:sz w:val="16"/>
          <w:szCs w:val="16"/>
        </w:rPr>
      </w:pPr>
      <w:r w:rsidRPr="00830C71">
        <w:rPr>
          <w:rFonts w:cs="Arial"/>
          <w:bCs/>
          <w:sz w:val="16"/>
          <w:szCs w:val="16"/>
        </w:rPr>
        <w:t>Donde:</w:t>
      </w:r>
    </w:p>
    <w:p w14:paraId="461F78F6" w14:textId="77777777" w:rsidR="00E1514B" w:rsidRPr="00830C71" w:rsidRDefault="00E1514B" w:rsidP="00830C71">
      <w:pPr>
        <w:rPr>
          <w:rFonts w:cs="Arial"/>
          <w:bCs/>
          <w:sz w:val="16"/>
          <w:szCs w:val="16"/>
        </w:rPr>
      </w:pPr>
      <w:r w:rsidRPr="00830C71">
        <w:rPr>
          <w:rFonts w:cs="Arial"/>
          <w:bCs/>
          <w:sz w:val="16"/>
          <w:szCs w:val="16"/>
        </w:rPr>
        <w:object w:dxaOrig="200" w:dyaOrig="279" w14:anchorId="461F7959">
          <v:shape id="_x0000_i1038" type="#_x0000_t75" style="width:8.15pt;height:14.35pt" o:ole="">
            <v:imagedata r:id="rId38" o:title=""/>
          </v:shape>
          <o:OLEObject Type="Embed" ProgID="Equation.3" ShapeID="_x0000_i1038" DrawAspect="Content" ObjectID="_1784450751" r:id="rId39"/>
        </w:object>
      </w:r>
      <w:r w:rsidRPr="00830C71">
        <w:rPr>
          <w:rFonts w:cs="Arial"/>
          <w:bCs/>
          <w:sz w:val="16"/>
          <w:szCs w:val="16"/>
        </w:rPr>
        <w:t xml:space="preserve">: Variación porcentual a ponderar mensualmente el índice </w:t>
      </w:r>
      <w:r w:rsidRPr="00830C71">
        <w:rPr>
          <w:rFonts w:cs="Arial"/>
          <w:bCs/>
          <w:sz w:val="16"/>
          <w:szCs w:val="16"/>
        </w:rPr>
        <w:object w:dxaOrig="139" w:dyaOrig="260" w14:anchorId="461F795A">
          <v:shape id="_x0000_i1039" type="#_x0000_t75" style="width:6.85pt;height:11.4pt" o:ole="">
            <v:imagedata r:id="rId15" o:title=""/>
          </v:shape>
          <o:OLEObject Type="Embed" ProgID="Equation.3" ShapeID="_x0000_i1039" DrawAspect="Content" ObjectID="_1784450752" r:id="rId40"/>
        </w:object>
      </w:r>
      <w:r w:rsidRPr="00830C71">
        <w:rPr>
          <w:rFonts w:cs="Arial"/>
          <w:bCs/>
          <w:sz w:val="16"/>
          <w:szCs w:val="16"/>
        </w:rPr>
        <w:t xml:space="preserve"> hasta completar el período de cálculo. Una vez todos los índices que conforman el IARF</w:t>
      </w:r>
      <w:r w:rsidR="001E4C61" w:rsidRPr="00830C71">
        <w:rPr>
          <w:rFonts w:cs="Arial"/>
          <w:bCs/>
          <w:sz w:val="16"/>
          <w:szCs w:val="16"/>
        </w:rPr>
        <w:t>L</w:t>
      </w:r>
      <w:r w:rsidRPr="00830C71">
        <w:rPr>
          <w:rFonts w:cs="Arial"/>
          <w:bCs/>
          <w:sz w:val="16"/>
          <w:szCs w:val="16"/>
        </w:rPr>
        <w:t xml:space="preserve"> completen el tiempo del periodo de cálculo, k=0.</w:t>
      </w:r>
    </w:p>
    <w:p w14:paraId="461F78F7" w14:textId="77777777" w:rsidR="00E1514B" w:rsidRPr="00830C71" w:rsidRDefault="00E1514B" w:rsidP="00830C71">
      <w:pPr>
        <w:rPr>
          <w:rFonts w:cs="Arial"/>
          <w:bCs/>
          <w:sz w:val="16"/>
          <w:szCs w:val="16"/>
        </w:rPr>
      </w:pPr>
    </w:p>
    <w:p w14:paraId="461F78F8" w14:textId="77777777" w:rsidR="00E1514B" w:rsidRPr="00830C71" w:rsidRDefault="00E1514B" w:rsidP="00830C71">
      <w:pPr>
        <w:rPr>
          <w:rFonts w:cs="Arial"/>
          <w:bCs/>
          <w:sz w:val="16"/>
          <w:szCs w:val="16"/>
        </w:rPr>
      </w:pPr>
      <w:r w:rsidRPr="00830C71">
        <w:rPr>
          <w:rFonts w:cs="Arial"/>
          <w:bCs/>
          <w:sz w:val="16"/>
          <w:szCs w:val="16"/>
        </w:rPr>
        <w:object w:dxaOrig="260" w:dyaOrig="220" w14:anchorId="461F795B">
          <v:shape id="_x0000_i1040" type="#_x0000_t75" style="width:11.4pt;height:11.4pt" o:ole="">
            <v:imagedata r:id="rId41" o:title=""/>
          </v:shape>
          <o:OLEObject Type="Embed" ProgID="Equation.3" ShapeID="_x0000_i1040" DrawAspect="Content" ObjectID="_1784450753" r:id="rId42"/>
        </w:object>
      </w:r>
      <w:r w:rsidRPr="00830C71">
        <w:rPr>
          <w:rFonts w:cs="Arial"/>
          <w:bCs/>
          <w:sz w:val="16"/>
          <w:szCs w:val="16"/>
        </w:rPr>
        <w:t>: Número de meses del período de cálculo de rentabilidad mínima, establecido en el artículo 2.6.9.1.4 del Decreto 2555 de 2010.</w:t>
      </w:r>
    </w:p>
    <w:p w14:paraId="461F78F9" w14:textId="77777777" w:rsidR="00E1514B" w:rsidRPr="00830C71" w:rsidRDefault="00E1514B" w:rsidP="00830C71">
      <w:pPr>
        <w:rPr>
          <w:rFonts w:cs="Arial"/>
          <w:bCs/>
          <w:sz w:val="16"/>
          <w:szCs w:val="16"/>
        </w:rPr>
      </w:pPr>
    </w:p>
    <w:p w14:paraId="461F78FA" w14:textId="77777777" w:rsidR="00E1514B" w:rsidRPr="00830C71" w:rsidRDefault="00E1514B" w:rsidP="00830C71">
      <w:pPr>
        <w:rPr>
          <w:rFonts w:cs="Arial"/>
          <w:bCs/>
          <w:sz w:val="16"/>
          <w:szCs w:val="16"/>
          <w:lang w:val="es-ES"/>
        </w:rPr>
      </w:pPr>
      <w:r w:rsidRPr="00DA24EA">
        <w:rPr>
          <w:rFonts w:cs="Arial"/>
          <w:bCs/>
          <w:sz w:val="16"/>
          <w:szCs w:val="16"/>
        </w:rPr>
        <w:fldChar w:fldCharType="begin"/>
      </w:r>
      <w:r w:rsidRPr="00830C71">
        <w:rPr>
          <w:rFonts w:cs="Arial"/>
          <w:bCs/>
          <w:sz w:val="16"/>
          <w:szCs w:val="16"/>
        </w:rPr>
        <w:instrText xml:space="preserve"> QUOTE </w:instrText>
      </w:r>
      <m:oMath>
        <m:sSub>
          <m:sSubPr>
            <m:ctrlPr>
              <w:rPr>
                <w:rFonts w:ascii="Cambria Math" w:hAnsi="Cambria Math" w:cs="Arial"/>
                <w:bCs/>
                <w:i/>
                <w:sz w:val="16"/>
                <w:szCs w:val="16"/>
              </w:rPr>
            </m:ctrlPr>
          </m:sSubPr>
          <m:e>
            <m:r>
              <m:rPr>
                <m:sty m:val="p"/>
              </m:rPr>
              <w:rPr>
                <w:rFonts w:ascii="Cambria Math" w:hAnsi="Cambria Math" w:cs="Arial"/>
                <w:sz w:val="16"/>
                <w:szCs w:val="16"/>
              </w:rPr>
              <m:t>β</m:t>
            </m:r>
          </m:e>
          <m:sub>
            <m:r>
              <m:rPr>
                <m:sty m:val="p"/>
              </m:rPr>
              <w:rPr>
                <w:rFonts w:ascii="Cambria Math" w:hAnsi="Cambria Math" w:cs="Arial"/>
                <w:sz w:val="16"/>
                <w:szCs w:val="16"/>
              </w:rPr>
              <m:t>i</m:t>
            </m:r>
          </m:sub>
        </m:sSub>
        <m:r>
          <m:rPr>
            <m:sty m:val="p"/>
          </m:rPr>
          <w:rPr>
            <w:rFonts w:ascii="Cambria Math" w:hAnsi="Cambria Math" w:cs="Arial"/>
            <w:sz w:val="16"/>
            <w:szCs w:val="16"/>
          </w:rPr>
          <m:t xml:space="preserve"> </m:t>
        </m:r>
      </m:oMath>
      <w:r w:rsidRPr="00830C71">
        <w:rPr>
          <w:rFonts w:cs="Arial"/>
          <w:bCs/>
          <w:sz w:val="16"/>
          <w:szCs w:val="16"/>
        </w:rPr>
        <w:instrText xml:space="preserve"> </w:instrText>
      </w:r>
      <w:r w:rsidRPr="00DA24EA">
        <w:rPr>
          <w:rFonts w:cs="Arial"/>
          <w:bCs/>
          <w:sz w:val="16"/>
          <w:szCs w:val="16"/>
        </w:rPr>
        <w:fldChar w:fldCharType="separate"/>
      </w:r>
      <w:r w:rsidRPr="00830C71">
        <w:rPr>
          <w:rFonts w:cs="Arial"/>
          <w:bCs/>
          <w:sz w:val="16"/>
          <w:szCs w:val="16"/>
        </w:rPr>
        <w:object w:dxaOrig="400" w:dyaOrig="380" w14:anchorId="461F795C">
          <v:shape id="_x0000_i1041" type="#_x0000_t75" style="width:18.9pt;height:17.9pt" o:ole="">
            <v:imagedata r:id="rId43" o:title=""/>
          </v:shape>
          <o:OLEObject Type="Embed" ProgID="Equation.3" ShapeID="_x0000_i1041" DrawAspect="Content" ObjectID="_1784450754" r:id="rId44"/>
        </w:object>
      </w:r>
      <w:r w:rsidRPr="00DA24EA">
        <w:rPr>
          <w:rFonts w:cs="Arial"/>
          <w:bCs/>
          <w:sz w:val="16"/>
          <w:szCs w:val="16"/>
        </w:rPr>
        <w:fldChar w:fldCharType="end"/>
      </w:r>
      <w:r w:rsidRPr="00830C71">
        <w:rPr>
          <w:rFonts w:cs="Arial"/>
          <w:bCs/>
          <w:sz w:val="16"/>
          <w:szCs w:val="16"/>
          <w:lang w:val="es-ES"/>
        </w:rPr>
        <w:t xml:space="preserve">: Ponderación porcentual del índice </w:t>
      </w:r>
      <w:r w:rsidRPr="00830C71">
        <w:rPr>
          <w:rFonts w:cs="Arial"/>
          <w:bCs/>
          <w:sz w:val="16"/>
          <w:szCs w:val="16"/>
        </w:rPr>
        <w:object w:dxaOrig="139" w:dyaOrig="260" w14:anchorId="461F795D">
          <v:shape id="_x0000_i1042" type="#_x0000_t75" style="width:6.85pt;height:11.4pt" o:ole="">
            <v:imagedata r:id="rId23" o:title=""/>
          </v:shape>
          <o:OLEObject Type="Embed" ProgID="Equation.3" ShapeID="_x0000_i1042" DrawAspect="Content" ObjectID="_1784450755" r:id="rId45"/>
        </w:object>
      </w:r>
      <w:r w:rsidRPr="00830C71">
        <w:rPr>
          <w:rFonts w:cs="Arial"/>
          <w:bCs/>
          <w:sz w:val="16"/>
          <w:szCs w:val="16"/>
          <w:lang w:val="es-ES"/>
        </w:rPr>
        <w:t xml:space="preserve">, en el mes inmediatamente anterior a un evento de inclusión, o en el último mes del período de exclusión del </w:t>
      </w:r>
      <w:proofErr w:type="spellStart"/>
      <w:r w:rsidRPr="00830C71">
        <w:rPr>
          <w:rFonts w:cs="Arial"/>
          <w:bCs/>
          <w:sz w:val="16"/>
          <w:szCs w:val="16"/>
          <w:lang w:val="es-ES"/>
        </w:rPr>
        <w:t>subnumeral</w:t>
      </w:r>
      <w:proofErr w:type="spellEnd"/>
      <w:r w:rsidRPr="00830C71">
        <w:rPr>
          <w:rFonts w:cs="Arial"/>
          <w:bCs/>
          <w:sz w:val="16"/>
          <w:szCs w:val="16"/>
          <w:lang w:val="es-ES"/>
        </w:rPr>
        <w:t xml:space="preserve"> 1.10.2.2.2.3. Este valor solamente se modifica cuando se presenten eventos de inclusión o exclusión.</w:t>
      </w:r>
    </w:p>
    <w:p w14:paraId="461F78FB" w14:textId="77777777" w:rsidR="00E1514B" w:rsidRPr="00830C71" w:rsidRDefault="00E1514B" w:rsidP="00830C71">
      <w:pPr>
        <w:rPr>
          <w:rFonts w:cs="Arial"/>
          <w:bCs/>
          <w:sz w:val="16"/>
          <w:szCs w:val="16"/>
        </w:rPr>
      </w:pPr>
    </w:p>
    <w:p w14:paraId="461F78FC" w14:textId="77777777" w:rsidR="00E1514B" w:rsidRPr="00830C71" w:rsidRDefault="00E1514B" w:rsidP="00830C71">
      <w:pPr>
        <w:rPr>
          <w:rFonts w:cs="Arial"/>
          <w:bCs/>
          <w:sz w:val="16"/>
          <w:szCs w:val="16"/>
          <w:lang w:val="es-ES"/>
        </w:rPr>
      </w:pPr>
      <w:r w:rsidRPr="00830C71">
        <w:rPr>
          <w:rFonts w:cs="Arial"/>
          <w:bCs/>
          <w:sz w:val="16"/>
          <w:szCs w:val="16"/>
          <w:lang w:val="es-ES"/>
        </w:rPr>
        <w:t xml:space="preserve">Sin perjuicio de lo anterior, en caso de incluir </w:t>
      </w:r>
      <w:r w:rsidR="00323944" w:rsidRPr="00830C71">
        <w:rPr>
          <w:rFonts w:cs="Arial"/>
          <w:bCs/>
          <w:sz w:val="16"/>
          <w:szCs w:val="16"/>
          <w:lang w:val="es-ES"/>
        </w:rPr>
        <w:t xml:space="preserve">un </w:t>
      </w:r>
      <w:r w:rsidRPr="00830C71">
        <w:rPr>
          <w:rFonts w:cs="Arial"/>
          <w:bCs/>
          <w:sz w:val="16"/>
          <w:szCs w:val="16"/>
          <w:lang w:val="es-ES"/>
        </w:rPr>
        <w:t xml:space="preserve">índice o índices de deuda privada, la suma de las ponderaciones de éstos no podrá ser superior al 30%. </w:t>
      </w:r>
    </w:p>
    <w:p w14:paraId="461F78FD" w14:textId="77777777" w:rsidR="00E1514B" w:rsidRPr="00830C71" w:rsidRDefault="00E1514B" w:rsidP="00830C71">
      <w:pPr>
        <w:rPr>
          <w:rFonts w:cs="Arial"/>
          <w:bCs/>
          <w:sz w:val="16"/>
          <w:szCs w:val="16"/>
        </w:rPr>
      </w:pPr>
    </w:p>
    <w:p w14:paraId="461F78FE" w14:textId="77777777" w:rsidR="00E1514B" w:rsidRPr="00830C71" w:rsidRDefault="00E1514B" w:rsidP="00830C71">
      <w:pPr>
        <w:rPr>
          <w:rFonts w:cs="Arial"/>
          <w:bCs/>
          <w:sz w:val="16"/>
          <w:szCs w:val="16"/>
        </w:rPr>
      </w:pPr>
      <w:r w:rsidRPr="00830C71">
        <w:rPr>
          <w:rFonts w:cs="Arial"/>
          <w:bCs/>
          <w:sz w:val="16"/>
          <w:szCs w:val="16"/>
        </w:rPr>
        <w:t>1.10.2.2.2.3. Cálculo de la ponderación de los índices cuando se presenta un evento de exclusión del IARFL</w:t>
      </w:r>
    </w:p>
    <w:p w14:paraId="461F78FF" w14:textId="77777777" w:rsidR="00E1514B" w:rsidRPr="00830C71" w:rsidRDefault="00E1514B" w:rsidP="00830C71">
      <w:pPr>
        <w:rPr>
          <w:rFonts w:cs="Arial"/>
          <w:bCs/>
          <w:sz w:val="16"/>
          <w:szCs w:val="16"/>
        </w:rPr>
      </w:pPr>
    </w:p>
    <w:p w14:paraId="461F7900" w14:textId="77777777" w:rsidR="00E1514B" w:rsidRPr="00830C71" w:rsidRDefault="00E1514B" w:rsidP="00830C71">
      <w:pPr>
        <w:rPr>
          <w:rFonts w:cs="Arial"/>
          <w:bCs/>
          <w:sz w:val="16"/>
          <w:szCs w:val="16"/>
          <w:lang w:val="es-ES"/>
        </w:rPr>
      </w:pPr>
      <w:r w:rsidRPr="00830C71">
        <w:rPr>
          <w:rFonts w:cs="Arial"/>
          <w:bCs/>
          <w:sz w:val="16"/>
          <w:szCs w:val="16"/>
          <w:lang w:val="es-ES"/>
        </w:rPr>
        <w:t xml:space="preserve">Para efectos de la exclusión de un índice del IARFL, la SFC de acuerdo con lo establecido en el </w:t>
      </w:r>
      <w:proofErr w:type="spellStart"/>
      <w:r w:rsidRPr="00830C71">
        <w:rPr>
          <w:rFonts w:cs="Arial"/>
          <w:bCs/>
          <w:sz w:val="16"/>
          <w:szCs w:val="16"/>
          <w:lang w:val="es-ES"/>
        </w:rPr>
        <w:t>subnumeral</w:t>
      </w:r>
      <w:proofErr w:type="spellEnd"/>
      <w:r w:rsidRPr="00830C71">
        <w:rPr>
          <w:rFonts w:cs="Arial"/>
          <w:bCs/>
          <w:sz w:val="16"/>
          <w:szCs w:val="16"/>
          <w:lang w:val="es-ES"/>
        </w:rPr>
        <w:t xml:space="preserve"> 1.10.2.2.1.4 debe informar a partir del momento en el cual el índice dejará de ponderar dentro del IARFL. El índice a ser </w:t>
      </w:r>
      <w:proofErr w:type="gramStart"/>
      <w:r w:rsidRPr="00830C71">
        <w:rPr>
          <w:rFonts w:cs="Arial"/>
          <w:bCs/>
          <w:sz w:val="16"/>
          <w:szCs w:val="16"/>
          <w:lang w:val="es-ES"/>
        </w:rPr>
        <w:t>excluido,</w:t>
      </w:r>
      <w:proofErr w:type="gramEnd"/>
      <w:r w:rsidRPr="00830C71">
        <w:rPr>
          <w:rFonts w:cs="Arial"/>
          <w:bCs/>
          <w:sz w:val="16"/>
          <w:szCs w:val="16"/>
          <w:lang w:val="es-ES"/>
        </w:rPr>
        <w:t xml:space="preserve"> mensualmente debe disminuir proporcionalmente su ponderación dentro del IARFL hasta llegar a 0%. El plazo máximo para la exclusión de un índice es de 6 meses; para este caso se tiene que:</w:t>
      </w:r>
    </w:p>
    <w:p w14:paraId="461F7901" w14:textId="77777777" w:rsidR="00E1514B" w:rsidRPr="00830C71" w:rsidRDefault="00E1514B" w:rsidP="00830C71">
      <w:pPr>
        <w:rPr>
          <w:rFonts w:cs="Arial"/>
          <w:bCs/>
          <w:sz w:val="16"/>
          <w:szCs w:val="16"/>
        </w:rPr>
      </w:pPr>
    </w:p>
    <w:p w14:paraId="461F7902" w14:textId="77777777" w:rsidR="00E1514B" w:rsidRPr="00830C71" w:rsidRDefault="00E1514B" w:rsidP="00830C71">
      <w:pPr>
        <w:jc w:val="center"/>
        <w:rPr>
          <w:rFonts w:cs="Arial"/>
          <w:bCs/>
          <w:sz w:val="16"/>
          <w:szCs w:val="16"/>
        </w:rPr>
      </w:pPr>
      <w:r w:rsidRPr="00830C71">
        <w:rPr>
          <w:rFonts w:cs="Arial"/>
          <w:bCs/>
          <w:sz w:val="16"/>
          <w:szCs w:val="16"/>
        </w:rPr>
        <w:object w:dxaOrig="1680" w:dyaOrig="660" w14:anchorId="461F795E">
          <v:shape id="_x0000_i1043" type="#_x0000_t75" style="width:82.45pt;height:32.9pt" o:ole="">
            <v:imagedata r:id="rId46" o:title=""/>
          </v:shape>
          <o:OLEObject Type="Embed" ProgID="Equation.3" ShapeID="_x0000_i1043" DrawAspect="Content" ObjectID="_1784450756" r:id="rId47"/>
        </w:object>
      </w:r>
    </w:p>
    <w:p w14:paraId="461F7903" w14:textId="77777777" w:rsidR="00E1514B" w:rsidRPr="00830C71" w:rsidRDefault="00E1514B" w:rsidP="00830C71">
      <w:pPr>
        <w:rPr>
          <w:rFonts w:cs="Arial"/>
          <w:bCs/>
          <w:sz w:val="16"/>
          <w:szCs w:val="16"/>
        </w:rPr>
      </w:pPr>
      <w:r w:rsidRPr="00830C71">
        <w:rPr>
          <w:rFonts w:cs="Arial"/>
          <w:bCs/>
          <w:sz w:val="16"/>
          <w:szCs w:val="16"/>
        </w:rPr>
        <w:t>Donde:</w:t>
      </w:r>
    </w:p>
    <w:p w14:paraId="461F7904" w14:textId="77777777" w:rsidR="00E1514B" w:rsidRPr="00830C71" w:rsidRDefault="00E1514B" w:rsidP="00830C71">
      <w:pPr>
        <w:rPr>
          <w:rFonts w:cs="Arial"/>
          <w:bCs/>
          <w:sz w:val="16"/>
          <w:szCs w:val="16"/>
          <w:lang w:val="es-ES"/>
        </w:rPr>
      </w:pPr>
      <w:r w:rsidRPr="00830C71">
        <w:rPr>
          <w:rFonts w:cs="Arial"/>
          <w:bCs/>
          <w:sz w:val="16"/>
          <w:szCs w:val="16"/>
        </w:rPr>
        <w:object w:dxaOrig="320" w:dyaOrig="380" w14:anchorId="461F795F">
          <v:shape id="_x0000_i1044" type="#_x0000_t75" style="width:15pt;height:18.9pt" o:ole="">
            <v:imagedata r:id="rId48" o:title=""/>
          </v:shape>
          <o:OLEObject Type="Embed" ProgID="Equation.3" ShapeID="_x0000_i1044" DrawAspect="Content" ObjectID="_1784450757" r:id="rId49"/>
        </w:object>
      </w:r>
      <w:r w:rsidRPr="00830C71">
        <w:rPr>
          <w:rFonts w:cs="Arial"/>
          <w:bCs/>
          <w:sz w:val="16"/>
          <w:szCs w:val="16"/>
          <w:lang w:val="es-ES"/>
        </w:rPr>
        <w:t>: reducción porcentual mensual en el ponderador del índice</w:t>
      </w:r>
      <w:r w:rsidRPr="00830C71">
        <w:rPr>
          <w:rFonts w:cs="Arial"/>
          <w:bCs/>
          <w:sz w:val="16"/>
          <w:szCs w:val="16"/>
        </w:rPr>
        <w:object w:dxaOrig="139" w:dyaOrig="260" w14:anchorId="461F7960">
          <v:shape id="_x0000_i1045" type="#_x0000_t75" style="width:6.85pt;height:11.4pt" o:ole="">
            <v:imagedata r:id="rId15" o:title=""/>
          </v:shape>
          <o:OLEObject Type="Embed" ProgID="Equation.3" ShapeID="_x0000_i1045" DrawAspect="Content" ObjectID="_1784450758" r:id="rId50"/>
        </w:object>
      </w:r>
      <w:r w:rsidRPr="00830C71">
        <w:rPr>
          <w:rFonts w:cs="Arial"/>
          <w:bCs/>
          <w:sz w:val="16"/>
          <w:szCs w:val="16"/>
          <w:lang w:val="es-ES"/>
        </w:rPr>
        <w:t>a ser excluido, en el mes</w:t>
      </w:r>
      <w:r w:rsidRPr="00DA24EA">
        <w:rPr>
          <w:rFonts w:cs="Arial"/>
          <w:bCs/>
          <w:sz w:val="16"/>
          <w:szCs w:val="16"/>
        </w:rPr>
        <w:object w:dxaOrig="200" w:dyaOrig="300" w14:anchorId="461F7961">
          <v:shape id="_x0000_i1046" type="#_x0000_t75" style="width:8.15pt;height:15pt" o:ole="">
            <v:imagedata r:id="rId25" o:title=""/>
          </v:shape>
          <o:OLEObject Type="Embed" ProgID="Equation.3" ShapeID="_x0000_i1046" DrawAspect="Content" ObjectID="_1784450759" r:id="rId51"/>
        </w:object>
      </w:r>
    </w:p>
    <w:p w14:paraId="461F7905" w14:textId="77777777" w:rsidR="00E1514B" w:rsidRPr="00830C71" w:rsidRDefault="00E1514B" w:rsidP="00830C71">
      <w:pPr>
        <w:rPr>
          <w:rFonts w:cs="Arial"/>
          <w:bCs/>
          <w:sz w:val="16"/>
          <w:szCs w:val="16"/>
        </w:rPr>
      </w:pPr>
      <w:r w:rsidRPr="00830C71">
        <w:rPr>
          <w:rFonts w:cs="Arial"/>
          <w:bCs/>
          <w:sz w:val="16"/>
          <w:szCs w:val="16"/>
        </w:rPr>
        <w:t xml:space="preserve">Por lo tanto, la ponderación del índice </w:t>
      </w:r>
      <w:r w:rsidRPr="00830C71">
        <w:rPr>
          <w:rFonts w:cs="Arial"/>
          <w:bCs/>
          <w:sz w:val="16"/>
          <w:szCs w:val="16"/>
        </w:rPr>
        <w:object w:dxaOrig="139" w:dyaOrig="260" w14:anchorId="461F7962">
          <v:shape id="_x0000_i1047" type="#_x0000_t75" style="width:6.85pt;height:11.4pt" o:ole="">
            <v:imagedata r:id="rId15" o:title=""/>
          </v:shape>
          <o:OLEObject Type="Embed" ProgID="Equation.3" ShapeID="_x0000_i1047" DrawAspect="Content" ObjectID="_1784450760" r:id="rId52"/>
        </w:object>
      </w:r>
      <w:r w:rsidRPr="00830C71">
        <w:rPr>
          <w:rFonts w:cs="Arial"/>
          <w:bCs/>
          <w:sz w:val="16"/>
          <w:szCs w:val="16"/>
        </w:rPr>
        <w:t xml:space="preserve"> a ser excluido en el mes </w:t>
      </w:r>
      <w:r w:rsidRPr="00DA24EA">
        <w:rPr>
          <w:rFonts w:cs="Arial"/>
          <w:bCs/>
          <w:sz w:val="16"/>
          <w:szCs w:val="16"/>
        </w:rPr>
        <w:object w:dxaOrig="200" w:dyaOrig="300" w14:anchorId="461F7963">
          <v:shape id="_x0000_i1048" type="#_x0000_t75" style="width:8.15pt;height:15pt" o:ole="">
            <v:imagedata r:id="rId25" o:title=""/>
          </v:shape>
          <o:OLEObject Type="Embed" ProgID="Equation.3" ShapeID="_x0000_i1048" DrawAspect="Content" ObjectID="_1784450761" r:id="rId53"/>
        </w:object>
      </w:r>
      <w:r w:rsidRPr="00830C71">
        <w:rPr>
          <w:rFonts w:cs="Arial"/>
          <w:bCs/>
          <w:sz w:val="16"/>
          <w:szCs w:val="16"/>
        </w:rPr>
        <w:t xml:space="preserve"> está dada por:</w:t>
      </w:r>
    </w:p>
    <w:p w14:paraId="461F7906" w14:textId="77777777" w:rsidR="00E1514B" w:rsidRPr="00830C71" w:rsidRDefault="00E1514B" w:rsidP="00830C71">
      <w:pPr>
        <w:rPr>
          <w:rFonts w:cs="Arial"/>
          <w:bCs/>
          <w:sz w:val="16"/>
          <w:szCs w:val="16"/>
        </w:rPr>
      </w:pPr>
    </w:p>
    <w:p w14:paraId="461F7907" w14:textId="77777777" w:rsidR="00E1514B" w:rsidRPr="00830C71" w:rsidRDefault="00E1514B" w:rsidP="00830C71">
      <w:pPr>
        <w:jc w:val="center"/>
        <w:rPr>
          <w:rFonts w:cs="Arial"/>
          <w:bCs/>
          <w:sz w:val="16"/>
          <w:szCs w:val="16"/>
        </w:rPr>
      </w:pPr>
      <w:r w:rsidRPr="00830C71">
        <w:rPr>
          <w:rFonts w:cs="Arial"/>
          <w:bCs/>
          <w:sz w:val="16"/>
          <w:szCs w:val="16"/>
        </w:rPr>
        <w:object w:dxaOrig="1520" w:dyaOrig="380" w14:anchorId="461F7964">
          <v:shape id="_x0000_i1049" type="#_x0000_t75" style="width:69.05pt;height:18.9pt" o:ole="">
            <v:imagedata r:id="rId54" o:title=""/>
          </v:shape>
          <o:OLEObject Type="Embed" ProgID="Equation.3" ShapeID="_x0000_i1049" DrawAspect="Content" ObjectID="_1784450762" r:id="rId55"/>
        </w:object>
      </w:r>
    </w:p>
    <w:p w14:paraId="461F7908" w14:textId="77777777" w:rsidR="00E1514B" w:rsidRPr="00830C71" w:rsidRDefault="00E1514B" w:rsidP="00830C71">
      <w:pPr>
        <w:rPr>
          <w:rFonts w:cs="Arial"/>
          <w:bCs/>
          <w:sz w:val="16"/>
          <w:szCs w:val="16"/>
          <w:lang w:val="es-ES"/>
        </w:rPr>
      </w:pPr>
      <w:r w:rsidRPr="00830C71">
        <w:rPr>
          <w:rFonts w:cs="Arial"/>
          <w:bCs/>
          <w:sz w:val="16"/>
          <w:szCs w:val="16"/>
          <w:lang w:val="es-ES"/>
        </w:rPr>
        <w:t xml:space="preserve">Para el mes </w:t>
      </w:r>
      <w:r w:rsidRPr="00DA24EA">
        <w:rPr>
          <w:rFonts w:cs="Arial"/>
          <w:bCs/>
          <w:sz w:val="16"/>
          <w:szCs w:val="16"/>
        </w:rPr>
        <w:object w:dxaOrig="200" w:dyaOrig="300" w14:anchorId="461F7965">
          <v:shape id="_x0000_i1050" type="#_x0000_t75" style="width:8.15pt;height:15pt" o:ole="">
            <v:imagedata r:id="rId25" o:title=""/>
          </v:shape>
          <o:OLEObject Type="Embed" ProgID="Equation.3" ShapeID="_x0000_i1050" DrawAspect="Content" ObjectID="_1784450763" r:id="rId56"/>
        </w:object>
      </w:r>
      <w:r w:rsidRPr="00DA24EA">
        <w:rPr>
          <w:rFonts w:cs="Arial"/>
          <w:bCs/>
          <w:sz w:val="16"/>
          <w:szCs w:val="16"/>
          <w:lang w:val="es-ES"/>
        </w:rPr>
        <w:t xml:space="preserve">, </w:t>
      </w:r>
      <w:r w:rsidRPr="00830C71">
        <w:rPr>
          <w:rFonts w:cs="Arial"/>
          <w:bCs/>
          <w:sz w:val="16"/>
          <w:szCs w:val="16"/>
          <w:lang w:val="es-ES"/>
        </w:rPr>
        <w:t xml:space="preserve">el porcentaje que mensualmente reduce su participación el índice a ser </w:t>
      </w:r>
      <w:proofErr w:type="gramStart"/>
      <w:r w:rsidRPr="00830C71">
        <w:rPr>
          <w:rFonts w:cs="Arial"/>
          <w:bCs/>
          <w:sz w:val="16"/>
          <w:szCs w:val="16"/>
          <w:lang w:val="es-ES"/>
        </w:rPr>
        <w:t>excluido,</w:t>
      </w:r>
      <w:proofErr w:type="gramEnd"/>
      <w:r w:rsidRPr="00830C71">
        <w:rPr>
          <w:rFonts w:cs="Arial"/>
          <w:bCs/>
          <w:sz w:val="16"/>
          <w:szCs w:val="16"/>
          <w:lang w:val="es-ES"/>
        </w:rPr>
        <w:t xml:space="preserve"> debe ser distribuido proporcionalmente </w:t>
      </w:r>
      <w:r w:rsidRPr="00830C71">
        <w:rPr>
          <w:rFonts w:cs="Arial"/>
          <w:bCs/>
          <w:sz w:val="16"/>
          <w:szCs w:val="16"/>
        </w:rPr>
        <w:object w:dxaOrig="279" w:dyaOrig="360" w14:anchorId="461F7966">
          <v:shape id="_x0000_i1051" type="#_x0000_t75" style="width:11.4pt;height:15.65pt" o:ole="">
            <v:imagedata r:id="rId57" o:title=""/>
          </v:shape>
          <o:OLEObject Type="Embed" ProgID="Equation.3" ShapeID="_x0000_i1051" DrawAspect="Content" ObjectID="_1784450764" r:id="rId58"/>
        </w:object>
      </w:r>
      <w:r w:rsidRPr="00830C71">
        <w:rPr>
          <w:rFonts w:cs="Arial"/>
          <w:bCs/>
          <w:sz w:val="16"/>
          <w:szCs w:val="16"/>
          <w:lang w:val="es-ES"/>
        </w:rPr>
        <w:t xml:space="preserve"> entre los demás índices que hagan parte del IARFL, teniendo en cuenta la ponderación relativa entre ellos, en el mes inmediatamente anterior al evento de exclusión, de tal forma que, durante los meses del período de exclusión, el ponderador para los índices que se mantienen en el IARFL está dado por:</w:t>
      </w:r>
    </w:p>
    <w:p w14:paraId="461F7909" w14:textId="77777777" w:rsidR="00E1514B" w:rsidRPr="00830C71" w:rsidRDefault="00E1514B" w:rsidP="00830C71">
      <w:pPr>
        <w:rPr>
          <w:rFonts w:cs="Arial"/>
          <w:bCs/>
          <w:sz w:val="16"/>
          <w:szCs w:val="16"/>
        </w:rPr>
      </w:pPr>
    </w:p>
    <w:p w14:paraId="461F790A" w14:textId="77777777" w:rsidR="00E1514B" w:rsidRPr="00DA24EA" w:rsidRDefault="00E1514B" w:rsidP="00830C71">
      <w:pPr>
        <w:jc w:val="center"/>
        <w:rPr>
          <w:rFonts w:cs="Arial"/>
          <w:bCs/>
          <w:sz w:val="16"/>
          <w:szCs w:val="16"/>
        </w:rPr>
      </w:pPr>
      <w:r w:rsidRPr="00830C71">
        <w:rPr>
          <w:rFonts w:cs="Arial"/>
          <w:bCs/>
          <w:sz w:val="16"/>
          <w:szCs w:val="16"/>
        </w:rPr>
        <w:object w:dxaOrig="2100" w:dyaOrig="380" w14:anchorId="461F7967">
          <v:shape id="_x0000_i1052" type="#_x0000_t75" style="width:97.4pt;height:18.9pt" o:ole="">
            <v:imagedata r:id="rId59" o:title=""/>
          </v:shape>
          <o:OLEObject Type="Embed" ProgID="Equation.3" ShapeID="_x0000_i1052" DrawAspect="Content" ObjectID="_1784450765" r:id="rId60"/>
        </w:object>
      </w:r>
    </w:p>
    <w:p w14:paraId="461F790B" w14:textId="77777777" w:rsidR="00E1514B" w:rsidRPr="00DA24EA" w:rsidRDefault="00E1514B" w:rsidP="00830C71">
      <w:pPr>
        <w:rPr>
          <w:rFonts w:cs="Arial"/>
          <w:bCs/>
          <w:sz w:val="16"/>
          <w:szCs w:val="16"/>
        </w:rPr>
      </w:pPr>
    </w:p>
    <w:p w14:paraId="461F790C" w14:textId="77777777" w:rsidR="00E1514B" w:rsidRPr="00DA24EA" w:rsidRDefault="00E1514B" w:rsidP="00830C71">
      <w:pPr>
        <w:rPr>
          <w:rFonts w:cs="Arial"/>
          <w:bCs/>
          <w:sz w:val="16"/>
          <w:szCs w:val="16"/>
          <w:lang w:val="es-ES"/>
        </w:rPr>
      </w:pPr>
      <w:r w:rsidRPr="00830C71">
        <w:rPr>
          <w:rFonts w:cs="Arial"/>
          <w:bCs/>
          <w:sz w:val="16"/>
          <w:szCs w:val="16"/>
          <w:lang w:val="es-ES"/>
        </w:rPr>
        <w:t xml:space="preserve">Finalizado el periodo de exclusión, las ponderaciones de </w:t>
      </w:r>
      <w:proofErr w:type="gramStart"/>
      <w:r w:rsidRPr="00830C71">
        <w:rPr>
          <w:rFonts w:cs="Arial"/>
          <w:bCs/>
          <w:sz w:val="16"/>
          <w:szCs w:val="16"/>
          <w:lang w:val="es-ES"/>
        </w:rPr>
        <w:t>éstos</w:t>
      </w:r>
      <w:proofErr w:type="gramEnd"/>
      <w:r w:rsidRPr="00830C71">
        <w:rPr>
          <w:rFonts w:cs="Arial"/>
          <w:bCs/>
          <w:sz w:val="16"/>
          <w:szCs w:val="16"/>
          <w:lang w:val="es-ES"/>
        </w:rPr>
        <w:t xml:space="preserve"> índices deben calcularse de acuerdo con lo establecido en el </w:t>
      </w:r>
      <w:proofErr w:type="spellStart"/>
      <w:r w:rsidRPr="00830C71">
        <w:rPr>
          <w:rFonts w:cs="Arial"/>
          <w:bCs/>
          <w:sz w:val="16"/>
          <w:szCs w:val="16"/>
          <w:lang w:val="es-ES"/>
        </w:rPr>
        <w:t>subnumeral</w:t>
      </w:r>
      <w:proofErr w:type="spellEnd"/>
      <w:r w:rsidRPr="00830C71">
        <w:rPr>
          <w:rFonts w:cs="Arial"/>
          <w:bCs/>
          <w:sz w:val="16"/>
          <w:szCs w:val="16"/>
          <w:lang w:val="es-ES"/>
        </w:rPr>
        <w:t xml:space="preserve"> 1.10.2.2.2.2.</w:t>
      </w:r>
    </w:p>
    <w:p w14:paraId="461F794B" w14:textId="70D06A46" w:rsidR="00AF5809" w:rsidRPr="00BE3618" w:rsidRDefault="00AF5809" w:rsidP="000F1D01">
      <w:pPr>
        <w:widowControl w:val="0"/>
        <w:rPr>
          <w:rFonts w:cs="Arial"/>
          <w:b/>
          <w:sz w:val="16"/>
          <w:szCs w:val="16"/>
        </w:rPr>
      </w:pPr>
    </w:p>
    <w:sectPr w:rsidR="00AF5809" w:rsidRPr="00BE3618" w:rsidSect="00830C71">
      <w:headerReference w:type="default" r:id="rId61"/>
      <w:footerReference w:type="default" r:id="rId62"/>
      <w:pgSz w:w="12240" w:h="18720" w:code="14"/>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90DAF" w14:textId="77777777" w:rsidR="00ED1B1C" w:rsidRDefault="00ED1B1C" w:rsidP="00325AB9">
      <w:r>
        <w:separator/>
      </w:r>
    </w:p>
  </w:endnote>
  <w:endnote w:type="continuationSeparator" w:id="0">
    <w:p w14:paraId="18D956DA" w14:textId="77777777" w:rsidR="00ED1B1C" w:rsidRDefault="00ED1B1C" w:rsidP="00325AB9">
      <w:r>
        <w:continuationSeparator/>
      </w:r>
    </w:p>
  </w:endnote>
  <w:endnote w:type="continuationNotice" w:id="1">
    <w:p w14:paraId="58593CEA" w14:textId="77777777" w:rsidR="00ED1B1C" w:rsidRDefault="00ED1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F797E" w14:textId="77777777" w:rsidR="00BE3618" w:rsidRDefault="00BE3618">
    <w:pPr>
      <w:pStyle w:val="Piedepgina"/>
    </w:pPr>
  </w:p>
  <w:p w14:paraId="461F797F" w14:textId="7F9DDA24" w:rsidR="00BE3618" w:rsidRDefault="00513156" w:rsidP="00BE3618">
    <w:pPr>
      <w:pStyle w:val="Piedepgina"/>
      <w:framePr w:wrap="around" w:vAnchor="text" w:hAnchor="page" w:x="10252" w:y="2"/>
      <w:rPr>
        <w:rStyle w:val="Nmerodepgina"/>
        <w:rFonts w:cs="Arial"/>
        <w:b/>
        <w:szCs w:val="18"/>
      </w:rPr>
    </w:pPr>
    <w:r>
      <w:rPr>
        <w:rStyle w:val="Nmerodepgina"/>
        <w:rFonts w:cs="Arial"/>
        <w:b/>
        <w:szCs w:val="18"/>
      </w:rPr>
      <w:t>10</w:t>
    </w:r>
  </w:p>
  <w:p w14:paraId="461F7980" w14:textId="77777777" w:rsidR="00BE3618" w:rsidRDefault="00BE3618" w:rsidP="00301929">
    <w:pPr>
      <w:pStyle w:val="Piedepgina"/>
      <w:rPr>
        <w:b/>
        <w:lang w:val="pt-BR"/>
      </w:rPr>
    </w:pPr>
    <w:r w:rsidRPr="00A07791">
      <w:rPr>
        <w:b/>
        <w:lang w:val="pt-BR"/>
      </w:rPr>
      <w:t xml:space="preserve">PARTE II </w:t>
    </w:r>
    <w:r>
      <w:rPr>
        <w:b/>
        <w:lang w:val="pt-BR"/>
      </w:rPr>
      <w:t>–</w:t>
    </w:r>
    <w:r w:rsidRPr="00A07791">
      <w:rPr>
        <w:b/>
        <w:lang w:val="pt-BR"/>
      </w:rPr>
      <w:t xml:space="preserve"> TÍTULO III </w:t>
    </w:r>
    <w:r>
      <w:rPr>
        <w:b/>
        <w:lang w:val="pt-BR"/>
      </w:rPr>
      <w:t>–</w:t>
    </w:r>
    <w:r w:rsidRPr="00A07791">
      <w:rPr>
        <w:b/>
        <w:lang w:val="pt-BR"/>
      </w:rPr>
      <w:t xml:space="preserve"> CAPÍTULO III</w:t>
    </w:r>
    <w:r>
      <w:rPr>
        <w:b/>
        <w:lang w:val="pt-BR"/>
      </w:rPr>
      <w:tab/>
    </w:r>
    <w:r w:rsidRPr="00A07791">
      <w:rPr>
        <w:b/>
        <w:lang w:val="pt-BR"/>
      </w:rPr>
      <w:t xml:space="preserve">                                                            </w:t>
    </w:r>
    <w:r w:rsidR="00EC3574">
      <w:rPr>
        <w:b/>
        <w:lang w:val="pt-BR"/>
      </w:rPr>
      <w:t xml:space="preserve">                </w:t>
    </w:r>
    <w:r w:rsidR="001232A6">
      <w:rPr>
        <w:b/>
        <w:lang w:val="pt-BR"/>
      </w:rPr>
      <w:t xml:space="preserve">        </w:t>
    </w:r>
    <w:r w:rsidR="00EC3574">
      <w:rPr>
        <w:b/>
        <w:lang w:val="pt-BR"/>
      </w:rPr>
      <w:t xml:space="preserve"> </w:t>
    </w:r>
    <w:r>
      <w:rPr>
        <w:b/>
        <w:lang w:val="pt-BR"/>
      </w:rPr>
      <w:t xml:space="preserve">     PÁGINA </w:t>
    </w:r>
  </w:p>
  <w:p w14:paraId="461F7981" w14:textId="51B88C22" w:rsidR="00BE3618" w:rsidRPr="00AE167E" w:rsidRDefault="00AE167E" w:rsidP="00AE167E">
    <w:pPr>
      <w:pStyle w:val="Piedepgina"/>
      <w:rPr>
        <w:b/>
        <w:lang w:val="es-CO"/>
      </w:rPr>
    </w:pPr>
    <w:r>
      <w:rPr>
        <w:b/>
        <w:lang w:val="pt-BR"/>
      </w:rPr>
      <w:t xml:space="preserve">Circular Externa  </w:t>
    </w:r>
    <w:r w:rsidR="005278CB">
      <w:rPr>
        <w:b/>
        <w:lang w:val="pt-BR"/>
      </w:rPr>
      <w:t xml:space="preserve">   </w:t>
    </w:r>
    <w:r>
      <w:rPr>
        <w:b/>
        <w:lang w:val="pt-BR"/>
      </w:rPr>
      <w:t>de 20</w:t>
    </w:r>
    <w:r w:rsidR="00F40361">
      <w:rPr>
        <w:b/>
        <w:lang w:val="pt-BR"/>
      </w:rPr>
      <w:t>24</w:t>
    </w:r>
    <w:r>
      <w:rPr>
        <w:b/>
        <w:lang w:val="pt-BR"/>
      </w:rPr>
      <w:t xml:space="preserve">                                     </w:t>
    </w:r>
    <w:r w:rsidR="005278CB">
      <w:rPr>
        <w:b/>
        <w:lang w:val="pt-BR"/>
      </w:rPr>
      <w:t xml:space="preserve">     </w:t>
    </w:r>
    <w:r>
      <w:rPr>
        <w:b/>
        <w:lang w:val="pt-BR"/>
      </w:rPr>
      <w:t xml:space="preserve">                                                    </w:t>
    </w:r>
    <w:r w:rsidR="005278CB">
      <w:rPr>
        <w:b/>
        <w:lang w:val="pt-BR"/>
      </w:rPr>
      <w:t xml:space="preserve">          </w:t>
    </w:r>
    <w:proofErr w:type="gramStart"/>
    <w:r w:rsidR="002A0C15">
      <w:rPr>
        <w:b/>
        <w:lang w:val="pt-BR"/>
      </w:rPr>
      <w:t>Agosto</w:t>
    </w:r>
    <w:proofErr w:type="gramEnd"/>
    <w:r w:rsidR="002A6483">
      <w:rPr>
        <w:b/>
        <w:lang w:val="pt-BR"/>
      </w:rPr>
      <w:t xml:space="preserve"> </w:t>
    </w:r>
    <w:r>
      <w:rPr>
        <w:rFonts w:cs="Arial"/>
        <w:b/>
        <w:szCs w:val="18"/>
        <w:lang w:val="es-CO"/>
      </w:rPr>
      <w:t>de 20</w:t>
    </w:r>
    <w:r w:rsidR="00EE1FA6">
      <w:rPr>
        <w:rFonts w:cs="Arial"/>
        <w:b/>
        <w:szCs w:val="18"/>
        <w:lang w:val="es-CO"/>
      </w:rPr>
      <w:t>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F7982" w14:textId="77777777" w:rsidR="00BE3618" w:rsidRDefault="00BE3618">
    <w:pPr>
      <w:pStyle w:val="Piedepgina"/>
    </w:pPr>
  </w:p>
  <w:p w14:paraId="034CA20D" w14:textId="2036340D" w:rsidR="00166AAA" w:rsidRDefault="00166AAA" w:rsidP="00166AAA">
    <w:pPr>
      <w:pStyle w:val="Piedepgina"/>
      <w:rPr>
        <w:b/>
        <w:lang w:val="pt-BR"/>
      </w:rPr>
    </w:pPr>
    <w:r w:rsidRPr="00A07791">
      <w:rPr>
        <w:b/>
        <w:lang w:val="pt-BR"/>
      </w:rPr>
      <w:t xml:space="preserve">PARTE II </w:t>
    </w:r>
    <w:r>
      <w:rPr>
        <w:b/>
        <w:lang w:val="pt-BR"/>
      </w:rPr>
      <w:t>–</w:t>
    </w:r>
    <w:r w:rsidRPr="00A07791">
      <w:rPr>
        <w:b/>
        <w:lang w:val="pt-BR"/>
      </w:rPr>
      <w:t xml:space="preserve"> TÍTULO III </w:t>
    </w:r>
    <w:r>
      <w:rPr>
        <w:b/>
        <w:lang w:val="pt-BR"/>
      </w:rPr>
      <w:t>–</w:t>
    </w:r>
    <w:r w:rsidRPr="00A07791">
      <w:rPr>
        <w:b/>
        <w:lang w:val="pt-BR"/>
      </w:rPr>
      <w:t xml:space="preserve"> CAPÍTULO III</w:t>
    </w:r>
    <w:r>
      <w:rPr>
        <w:b/>
        <w:lang w:val="pt-BR"/>
      </w:rPr>
      <w:tab/>
    </w:r>
    <w:r w:rsidRPr="00A07791">
      <w:rPr>
        <w:b/>
        <w:lang w:val="pt-BR"/>
      </w:rPr>
      <w:t xml:space="preserve">                                                            </w:t>
    </w:r>
    <w:r>
      <w:rPr>
        <w:b/>
        <w:lang w:val="pt-BR"/>
      </w:rPr>
      <w:t xml:space="preserve">                           PÁGINA </w:t>
    </w:r>
    <w:r w:rsidR="005278CB">
      <w:rPr>
        <w:b/>
        <w:lang w:val="pt-BR"/>
      </w:rPr>
      <w:t>10-1</w:t>
    </w:r>
  </w:p>
  <w:p w14:paraId="2DF17C4E" w14:textId="097C5A68" w:rsidR="00166AAA" w:rsidRPr="005278CB" w:rsidRDefault="005278CB" w:rsidP="005278CB">
    <w:pPr>
      <w:pStyle w:val="Piedepgina"/>
      <w:rPr>
        <w:b/>
        <w:lang w:val="es-CO"/>
      </w:rPr>
    </w:pPr>
    <w:r>
      <w:rPr>
        <w:b/>
        <w:lang w:val="pt-BR"/>
      </w:rPr>
      <w:t xml:space="preserve">Circular Externa           de 2024                                                                                                  </w:t>
    </w:r>
    <w:proofErr w:type="gramStart"/>
    <w:r w:rsidR="002A0C15">
      <w:rPr>
        <w:b/>
        <w:lang w:val="pt-BR"/>
      </w:rPr>
      <w:t>Agosto</w:t>
    </w:r>
    <w:proofErr w:type="gramEnd"/>
    <w:r>
      <w:rPr>
        <w:b/>
        <w:lang w:val="pt-BR"/>
      </w:rPr>
      <w:t xml:space="preserve"> </w:t>
    </w:r>
    <w:r>
      <w:rPr>
        <w:rFonts w:cs="Arial"/>
        <w:b/>
        <w:szCs w:val="18"/>
        <w:lang w:val="es-CO"/>
      </w:rPr>
      <w:t>de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737A3" w14:textId="77777777" w:rsidR="00ED1B1C" w:rsidRDefault="00ED1B1C" w:rsidP="00325AB9">
      <w:r>
        <w:separator/>
      </w:r>
    </w:p>
  </w:footnote>
  <w:footnote w:type="continuationSeparator" w:id="0">
    <w:p w14:paraId="73F69C38" w14:textId="77777777" w:rsidR="00ED1B1C" w:rsidRDefault="00ED1B1C" w:rsidP="00325AB9">
      <w:r>
        <w:continuationSeparator/>
      </w:r>
    </w:p>
  </w:footnote>
  <w:footnote w:type="continuationNotice" w:id="1">
    <w:p w14:paraId="1FF62355" w14:textId="77777777" w:rsidR="00ED1B1C" w:rsidRDefault="00ED1B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38046" w14:textId="77777777" w:rsidR="003D5638" w:rsidRDefault="003D5638" w:rsidP="003D5638">
    <w:pPr>
      <w:pStyle w:val="Encabezado"/>
      <w:jc w:val="center"/>
      <w:rPr>
        <w:b/>
        <w:sz w:val="24"/>
        <w:szCs w:val="24"/>
      </w:rPr>
    </w:pPr>
    <w:r w:rsidRPr="00325AB9">
      <w:rPr>
        <w:b/>
        <w:sz w:val="24"/>
        <w:szCs w:val="24"/>
      </w:rPr>
      <w:t>SUPERINTENDENCIA FINANCIERA DE COLOMBIA</w:t>
    </w:r>
  </w:p>
  <w:p w14:paraId="6EA62E21" w14:textId="77777777" w:rsidR="003D5638" w:rsidRDefault="003D56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B29EB" w14:textId="77777777" w:rsidR="005B572C" w:rsidRDefault="005B572C" w:rsidP="00325AB9">
    <w:pPr>
      <w:pStyle w:val="Encabezado"/>
      <w:jc w:val="center"/>
      <w:rPr>
        <w:b/>
        <w:sz w:val="24"/>
        <w:szCs w:val="24"/>
      </w:rPr>
    </w:pPr>
    <w:r w:rsidRPr="00325AB9">
      <w:rPr>
        <w:b/>
        <w:sz w:val="24"/>
        <w:szCs w:val="24"/>
      </w:rPr>
      <w:t>SUPERINTENDENCIA FINANCIERA DE COLOMBIA</w:t>
    </w:r>
  </w:p>
  <w:p w14:paraId="72741574" w14:textId="77777777" w:rsidR="005B572C" w:rsidRPr="00325AB9" w:rsidRDefault="005B572C" w:rsidP="00325AB9">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15CA8D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2" w15:restartNumberingAfterBreak="0">
    <w:nsid w:val="62F22BB5"/>
    <w:multiLevelType w:val="hybridMultilevel"/>
    <w:tmpl w:val="DCDC5D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385442977">
    <w:abstractNumId w:val="1"/>
  </w:num>
  <w:num w:numId="2" w16cid:durableId="183325624">
    <w:abstractNumId w:val="1"/>
  </w:num>
  <w:num w:numId="3" w16cid:durableId="1317950001">
    <w:abstractNumId w:val="1"/>
  </w:num>
  <w:num w:numId="4" w16cid:durableId="2106150110">
    <w:abstractNumId w:val="1"/>
  </w:num>
  <w:num w:numId="5" w16cid:durableId="916283407">
    <w:abstractNumId w:val="1"/>
  </w:num>
  <w:num w:numId="6" w16cid:durableId="609123969">
    <w:abstractNumId w:val="1"/>
  </w:num>
  <w:num w:numId="7" w16cid:durableId="298848573">
    <w:abstractNumId w:val="1"/>
  </w:num>
  <w:num w:numId="8" w16cid:durableId="931160359">
    <w:abstractNumId w:val="1"/>
  </w:num>
  <w:num w:numId="9" w16cid:durableId="397940745">
    <w:abstractNumId w:val="1"/>
  </w:num>
  <w:num w:numId="10" w16cid:durableId="116144899">
    <w:abstractNumId w:val="2"/>
  </w:num>
  <w:num w:numId="11" w16cid:durableId="1122648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02D3"/>
    <w:rsid w:val="00000216"/>
    <w:rsid w:val="000006A0"/>
    <w:rsid w:val="000027FD"/>
    <w:rsid w:val="00031AB0"/>
    <w:rsid w:val="00036B11"/>
    <w:rsid w:val="00045E9C"/>
    <w:rsid w:val="000478BE"/>
    <w:rsid w:val="00051446"/>
    <w:rsid w:val="000A206C"/>
    <w:rsid w:val="000A7F4D"/>
    <w:rsid w:val="000B5214"/>
    <w:rsid w:val="000C232B"/>
    <w:rsid w:val="000C79EA"/>
    <w:rsid w:val="000D0DEF"/>
    <w:rsid w:val="000D457F"/>
    <w:rsid w:val="000E4E2C"/>
    <w:rsid w:val="000E4E32"/>
    <w:rsid w:val="000F1D01"/>
    <w:rsid w:val="00111399"/>
    <w:rsid w:val="001232A6"/>
    <w:rsid w:val="00136C68"/>
    <w:rsid w:val="001613E6"/>
    <w:rsid w:val="00161465"/>
    <w:rsid w:val="00166AAA"/>
    <w:rsid w:val="00183159"/>
    <w:rsid w:val="00185928"/>
    <w:rsid w:val="0019762E"/>
    <w:rsid w:val="001B0E30"/>
    <w:rsid w:val="001B16E5"/>
    <w:rsid w:val="001C11DF"/>
    <w:rsid w:val="001C5C2B"/>
    <w:rsid w:val="001D6A31"/>
    <w:rsid w:val="001E4C61"/>
    <w:rsid w:val="00203FA4"/>
    <w:rsid w:val="00206C52"/>
    <w:rsid w:val="0021150D"/>
    <w:rsid w:val="00227792"/>
    <w:rsid w:val="00251041"/>
    <w:rsid w:val="002554B4"/>
    <w:rsid w:val="002614ED"/>
    <w:rsid w:val="00266412"/>
    <w:rsid w:val="002947BB"/>
    <w:rsid w:val="002A0C15"/>
    <w:rsid w:val="002A1DA6"/>
    <w:rsid w:val="002A6483"/>
    <w:rsid w:val="002A67A3"/>
    <w:rsid w:val="002B68B0"/>
    <w:rsid w:val="002D5F80"/>
    <w:rsid w:val="002D6201"/>
    <w:rsid w:val="002F3529"/>
    <w:rsid w:val="002F458D"/>
    <w:rsid w:val="00301929"/>
    <w:rsid w:val="0031017E"/>
    <w:rsid w:val="00323944"/>
    <w:rsid w:val="00325AB9"/>
    <w:rsid w:val="00344CC4"/>
    <w:rsid w:val="003463F0"/>
    <w:rsid w:val="003548EB"/>
    <w:rsid w:val="00363925"/>
    <w:rsid w:val="003853D5"/>
    <w:rsid w:val="0039299B"/>
    <w:rsid w:val="003954A8"/>
    <w:rsid w:val="003B0B4E"/>
    <w:rsid w:val="003D5638"/>
    <w:rsid w:val="003F7664"/>
    <w:rsid w:val="003F7DE2"/>
    <w:rsid w:val="004453BE"/>
    <w:rsid w:val="00447A11"/>
    <w:rsid w:val="00450288"/>
    <w:rsid w:val="00472BD7"/>
    <w:rsid w:val="004849B5"/>
    <w:rsid w:val="004A03FD"/>
    <w:rsid w:val="004C6CCF"/>
    <w:rsid w:val="004D05D8"/>
    <w:rsid w:val="00505CE8"/>
    <w:rsid w:val="0051263F"/>
    <w:rsid w:val="00513156"/>
    <w:rsid w:val="005278CB"/>
    <w:rsid w:val="0053016D"/>
    <w:rsid w:val="00556E89"/>
    <w:rsid w:val="0058525A"/>
    <w:rsid w:val="00587A57"/>
    <w:rsid w:val="00596D93"/>
    <w:rsid w:val="005B572C"/>
    <w:rsid w:val="005C43F1"/>
    <w:rsid w:val="005C64F9"/>
    <w:rsid w:val="005E4F80"/>
    <w:rsid w:val="00601A59"/>
    <w:rsid w:val="0061119C"/>
    <w:rsid w:val="00613435"/>
    <w:rsid w:val="00617C56"/>
    <w:rsid w:val="00624276"/>
    <w:rsid w:val="00624829"/>
    <w:rsid w:val="00625A63"/>
    <w:rsid w:val="00630787"/>
    <w:rsid w:val="006628C5"/>
    <w:rsid w:val="006645DA"/>
    <w:rsid w:val="006800A8"/>
    <w:rsid w:val="0069436A"/>
    <w:rsid w:val="006D3F6C"/>
    <w:rsid w:val="006D4778"/>
    <w:rsid w:val="006E2548"/>
    <w:rsid w:val="006F10AB"/>
    <w:rsid w:val="007004F4"/>
    <w:rsid w:val="007031E6"/>
    <w:rsid w:val="00706EC4"/>
    <w:rsid w:val="0070749E"/>
    <w:rsid w:val="00733AF8"/>
    <w:rsid w:val="0075232D"/>
    <w:rsid w:val="00755ACE"/>
    <w:rsid w:val="007606B8"/>
    <w:rsid w:val="00764494"/>
    <w:rsid w:val="007645E5"/>
    <w:rsid w:val="0077051F"/>
    <w:rsid w:val="00771A52"/>
    <w:rsid w:val="00771F9C"/>
    <w:rsid w:val="00772AFC"/>
    <w:rsid w:val="00783D6B"/>
    <w:rsid w:val="007867D5"/>
    <w:rsid w:val="007A190C"/>
    <w:rsid w:val="007A5EC1"/>
    <w:rsid w:val="007D29BB"/>
    <w:rsid w:val="007F1538"/>
    <w:rsid w:val="007F175E"/>
    <w:rsid w:val="007F6B1E"/>
    <w:rsid w:val="00800002"/>
    <w:rsid w:val="008101C7"/>
    <w:rsid w:val="00814363"/>
    <w:rsid w:val="0082522C"/>
    <w:rsid w:val="00830C71"/>
    <w:rsid w:val="00831240"/>
    <w:rsid w:val="00846A44"/>
    <w:rsid w:val="00857DF7"/>
    <w:rsid w:val="00874D60"/>
    <w:rsid w:val="008816AE"/>
    <w:rsid w:val="00882E0F"/>
    <w:rsid w:val="008C02D3"/>
    <w:rsid w:val="008F48B4"/>
    <w:rsid w:val="008F7D2D"/>
    <w:rsid w:val="0092101D"/>
    <w:rsid w:val="009471B7"/>
    <w:rsid w:val="0098257F"/>
    <w:rsid w:val="00983EE2"/>
    <w:rsid w:val="009B14B4"/>
    <w:rsid w:val="009D6BB3"/>
    <w:rsid w:val="009E0024"/>
    <w:rsid w:val="009E03CC"/>
    <w:rsid w:val="009E5EB8"/>
    <w:rsid w:val="009F21EE"/>
    <w:rsid w:val="009F70DD"/>
    <w:rsid w:val="00A03B55"/>
    <w:rsid w:val="00A07791"/>
    <w:rsid w:val="00A15899"/>
    <w:rsid w:val="00A17808"/>
    <w:rsid w:val="00A87EAD"/>
    <w:rsid w:val="00AB0460"/>
    <w:rsid w:val="00AB1BC3"/>
    <w:rsid w:val="00AB2A7E"/>
    <w:rsid w:val="00AB3EA3"/>
    <w:rsid w:val="00AD3362"/>
    <w:rsid w:val="00AD7992"/>
    <w:rsid w:val="00AE167E"/>
    <w:rsid w:val="00AF5809"/>
    <w:rsid w:val="00B11F87"/>
    <w:rsid w:val="00BC02CD"/>
    <w:rsid w:val="00BC30DC"/>
    <w:rsid w:val="00BE3618"/>
    <w:rsid w:val="00BF1CC3"/>
    <w:rsid w:val="00C07CDC"/>
    <w:rsid w:val="00C3274D"/>
    <w:rsid w:val="00C4154F"/>
    <w:rsid w:val="00C5747F"/>
    <w:rsid w:val="00C731E2"/>
    <w:rsid w:val="00C76C5A"/>
    <w:rsid w:val="00C851DB"/>
    <w:rsid w:val="00C85CED"/>
    <w:rsid w:val="00C8761F"/>
    <w:rsid w:val="00CA0007"/>
    <w:rsid w:val="00CB2B66"/>
    <w:rsid w:val="00CC5BCF"/>
    <w:rsid w:val="00CD0B14"/>
    <w:rsid w:val="00CE7CBD"/>
    <w:rsid w:val="00CF4851"/>
    <w:rsid w:val="00CF5039"/>
    <w:rsid w:val="00D01DF6"/>
    <w:rsid w:val="00D07841"/>
    <w:rsid w:val="00D14AA1"/>
    <w:rsid w:val="00D214B8"/>
    <w:rsid w:val="00D328C2"/>
    <w:rsid w:val="00D4785A"/>
    <w:rsid w:val="00D926C0"/>
    <w:rsid w:val="00DA009E"/>
    <w:rsid w:val="00DA24EA"/>
    <w:rsid w:val="00DE170A"/>
    <w:rsid w:val="00DF08F3"/>
    <w:rsid w:val="00DF196C"/>
    <w:rsid w:val="00DF49A6"/>
    <w:rsid w:val="00E128CB"/>
    <w:rsid w:val="00E1514B"/>
    <w:rsid w:val="00E22FF0"/>
    <w:rsid w:val="00E26F3E"/>
    <w:rsid w:val="00E321C3"/>
    <w:rsid w:val="00E53A55"/>
    <w:rsid w:val="00E92E8D"/>
    <w:rsid w:val="00EB2B10"/>
    <w:rsid w:val="00EC3574"/>
    <w:rsid w:val="00ED1A43"/>
    <w:rsid w:val="00ED1B1C"/>
    <w:rsid w:val="00EE1FA6"/>
    <w:rsid w:val="00EE201D"/>
    <w:rsid w:val="00EE7E15"/>
    <w:rsid w:val="00F147B6"/>
    <w:rsid w:val="00F167D0"/>
    <w:rsid w:val="00F27E40"/>
    <w:rsid w:val="00F40361"/>
    <w:rsid w:val="00F41246"/>
    <w:rsid w:val="00F7090B"/>
    <w:rsid w:val="00F75B45"/>
    <w:rsid w:val="00FA7FF7"/>
    <w:rsid w:val="00FB4606"/>
    <w:rsid w:val="00FC2B6E"/>
    <w:rsid w:val="00FC7402"/>
    <w:rsid w:val="00FC7BAC"/>
    <w:rsid w:val="00FD3D36"/>
    <w:rsid w:val="00FF17A3"/>
    <w:rsid w:val="5AD2D8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1F77C6"/>
  <w15:docId w15:val="{E060073A-5AE6-48A0-9C6A-FA6CC789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locked="1" w:semiHidden="1" w:unhideWhenUsed="1"/>
    <w:lsdException w:name="No Spacing" w:locked="1" w:qFormat="1"/>
    <w:lsdException w:name="Light Shading" w:locked="1"/>
    <w:lsdException w:name="Light List" w:locked="1"/>
    <w:lsdException w:name="Light Grid" w:locked="1"/>
    <w:lsdException w:name="Medium Shading 1" w:locked="1"/>
    <w:lsdException w:name="Medium Shading 2" w:locked="1"/>
    <w:lsdException w:name="Medium List 1" w:locked="1"/>
    <w:lsdException w:name="Medium List 2" w:locked="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2D3"/>
    <w:pPr>
      <w:jc w:val="both"/>
    </w:pPr>
    <w:rPr>
      <w:rFonts w:ascii="Arial" w:hAnsi="Arial"/>
      <w:sz w:val="18"/>
      <w:lang w:val="es-ES_tradnl"/>
    </w:rPr>
  </w:style>
  <w:style w:type="paragraph" w:styleId="Ttulo1">
    <w:name w:val="heading 1"/>
    <w:basedOn w:val="Normal"/>
    <w:next w:val="Normal"/>
    <w:link w:val="Ttulo1Car"/>
    <w:uiPriority w:val="99"/>
    <w:qFormat/>
    <w:rsid w:val="008C02D3"/>
    <w:pPr>
      <w:keepNext/>
      <w:spacing w:before="240" w:after="60"/>
      <w:outlineLvl w:val="0"/>
    </w:pPr>
    <w:rPr>
      <w:b/>
      <w:caps/>
      <w:kern w:val="32"/>
      <w:sz w:val="32"/>
    </w:rPr>
  </w:style>
  <w:style w:type="paragraph" w:styleId="Ttulo2">
    <w:name w:val="heading 2"/>
    <w:basedOn w:val="Normal"/>
    <w:next w:val="Normal"/>
    <w:link w:val="Ttulo2Car"/>
    <w:uiPriority w:val="99"/>
    <w:qFormat/>
    <w:rsid w:val="008C02D3"/>
    <w:pPr>
      <w:keepNext/>
      <w:spacing w:before="240" w:after="60"/>
      <w:outlineLvl w:val="1"/>
    </w:pPr>
    <w:rPr>
      <w:b/>
      <w:sz w:val="28"/>
    </w:rPr>
  </w:style>
  <w:style w:type="paragraph" w:styleId="Ttulo3">
    <w:name w:val="heading 3"/>
    <w:basedOn w:val="Normal"/>
    <w:next w:val="Normal"/>
    <w:link w:val="Ttulo3Car"/>
    <w:uiPriority w:val="99"/>
    <w:qFormat/>
    <w:rsid w:val="00AB0460"/>
    <w:pPr>
      <w:keepNext/>
      <w:numPr>
        <w:ilvl w:val="2"/>
        <w:numId w:val="9"/>
      </w:numPr>
      <w:spacing w:before="240" w:after="60"/>
      <w:outlineLvl w:val="2"/>
    </w:pPr>
    <w:rPr>
      <w:b/>
      <w:sz w:val="26"/>
      <w:lang w:val="es-ES" w:eastAsia="es-ES"/>
    </w:rPr>
  </w:style>
  <w:style w:type="paragraph" w:styleId="Ttulo4">
    <w:name w:val="heading 4"/>
    <w:basedOn w:val="Normal"/>
    <w:next w:val="Normal"/>
    <w:link w:val="Ttulo4Car"/>
    <w:uiPriority w:val="99"/>
    <w:qFormat/>
    <w:rsid w:val="00AB0460"/>
    <w:pPr>
      <w:keepNext/>
      <w:numPr>
        <w:ilvl w:val="3"/>
        <w:numId w:val="9"/>
      </w:numPr>
      <w:spacing w:before="240" w:after="60"/>
      <w:outlineLvl w:val="3"/>
    </w:pPr>
    <w:rPr>
      <w:sz w:val="28"/>
      <w:lang w:val="es-ES" w:eastAsia="es-ES"/>
    </w:rPr>
  </w:style>
  <w:style w:type="paragraph" w:styleId="Ttulo5">
    <w:name w:val="heading 5"/>
    <w:basedOn w:val="Normal"/>
    <w:next w:val="Normal"/>
    <w:link w:val="Ttulo5Car"/>
    <w:uiPriority w:val="99"/>
    <w:qFormat/>
    <w:rsid w:val="00AB0460"/>
    <w:pPr>
      <w:numPr>
        <w:ilvl w:val="4"/>
        <w:numId w:val="9"/>
      </w:numPr>
      <w:spacing w:before="240" w:after="60"/>
      <w:outlineLvl w:val="4"/>
    </w:pPr>
    <w:rPr>
      <w:rFonts w:ascii="Times New Roman" w:hAnsi="Times New Roman"/>
      <w:b/>
      <w:sz w:val="26"/>
      <w:u w:val="single"/>
      <w:lang w:val="es-ES" w:eastAsia="es-ES"/>
    </w:rPr>
  </w:style>
  <w:style w:type="paragraph" w:styleId="Ttulo6">
    <w:name w:val="heading 6"/>
    <w:basedOn w:val="Normal"/>
    <w:link w:val="Ttulo6Car"/>
    <w:uiPriority w:val="99"/>
    <w:qFormat/>
    <w:rsid w:val="00AB0460"/>
    <w:pPr>
      <w:numPr>
        <w:ilvl w:val="5"/>
        <w:numId w:val="9"/>
      </w:numPr>
      <w:spacing w:before="100" w:beforeAutospacing="1" w:after="100" w:afterAutospacing="1"/>
      <w:outlineLvl w:val="5"/>
    </w:pPr>
    <w:rPr>
      <w:rFonts w:ascii="Times New Roman" w:hAnsi="Times New Roman"/>
      <w:b/>
      <w:sz w:val="15"/>
      <w:lang w:val="es-ES" w:eastAsia="es-ES"/>
    </w:rPr>
  </w:style>
  <w:style w:type="paragraph" w:styleId="Ttulo7">
    <w:name w:val="heading 7"/>
    <w:basedOn w:val="Normal"/>
    <w:next w:val="Normal"/>
    <w:link w:val="Ttulo7Car"/>
    <w:uiPriority w:val="99"/>
    <w:qFormat/>
    <w:rsid w:val="00AB0460"/>
    <w:pPr>
      <w:numPr>
        <w:ilvl w:val="6"/>
        <w:numId w:val="9"/>
      </w:numPr>
      <w:spacing w:before="240" w:after="60"/>
      <w:outlineLvl w:val="6"/>
    </w:pPr>
    <w:rPr>
      <w:rFonts w:ascii="Times New Roman" w:hAnsi="Times New Roman"/>
      <w:sz w:val="24"/>
      <w:lang w:val="es-ES" w:eastAsia="es-ES"/>
    </w:rPr>
  </w:style>
  <w:style w:type="paragraph" w:styleId="Ttulo8">
    <w:name w:val="heading 8"/>
    <w:basedOn w:val="Normal"/>
    <w:next w:val="Normal"/>
    <w:link w:val="Ttulo8Car"/>
    <w:uiPriority w:val="99"/>
    <w:qFormat/>
    <w:rsid w:val="00AB0460"/>
    <w:pPr>
      <w:numPr>
        <w:ilvl w:val="7"/>
        <w:numId w:val="9"/>
      </w:numPr>
      <w:spacing w:before="240" w:after="60"/>
      <w:outlineLvl w:val="7"/>
    </w:pPr>
    <w:rPr>
      <w:rFonts w:ascii="Times New Roman" w:hAnsi="Times New Roman"/>
      <w:i/>
      <w:sz w:val="24"/>
      <w:lang w:val="es-ES" w:eastAsia="es-ES"/>
    </w:rPr>
  </w:style>
  <w:style w:type="paragraph" w:styleId="Ttulo9">
    <w:name w:val="heading 9"/>
    <w:basedOn w:val="Normal"/>
    <w:next w:val="Normal"/>
    <w:link w:val="Ttulo9Car"/>
    <w:uiPriority w:val="99"/>
    <w:qFormat/>
    <w:rsid w:val="00AB0460"/>
    <w:pPr>
      <w:numPr>
        <w:ilvl w:val="8"/>
        <w:numId w:val="9"/>
      </w:numPr>
      <w:spacing w:before="240" w:after="60"/>
      <w:outlineLvl w:val="8"/>
    </w:pPr>
    <w:rPr>
      <w:sz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C02D3"/>
    <w:rPr>
      <w:rFonts w:ascii="Arial" w:hAnsi="Arial" w:cs="Times New Roman"/>
      <w:b/>
      <w:caps/>
      <w:kern w:val="32"/>
      <w:sz w:val="32"/>
      <w:lang w:val="es-ES_tradnl" w:eastAsia="es-CO"/>
    </w:rPr>
  </w:style>
  <w:style w:type="character" w:customStyle="1" w:styleId="Ttulo2Car">
    <w:name w:val="Título 2 Car"/>
    <w:link w:val="Ttulo2"/>
    <w:uiPriority w:val="99"/>
    <w:locked/>
    <w:rsid w:val="008C02D3"/>
    <w:rPr>
      <w:rFonts w:ascii="Arial" w:hAnsi="Arial" w:cs="Times New Roman"/>
      <w:b/>
      <w:sz w:val="28"/>
      <w:lang w:val="es-ES_tradnl" w:eastAsia="es-CO"/>
    </w:rPr>
  </w:style>
  <w:style w:type="character" w:customStyle="1" w:styleId="Ttulo3Car">
    <w:name w:val="Título 3 Car"/>
    <w:link w:val="Ttulo3"/>
    <w:uiPriority w:val="99"/>
    <w:locked/>
    <w:rsid w:val="00AB0460"/>
    <w:rPr>
      <w:rFonts w:ascii="Arial" w:hAnsi="Arial" w:cs="Times New Roman"/>
      <w:b/>
      <w:sz w:val="26"/>
      <w:lang w:val="es-ES" w:eastAsia="es-ES"/>
    </w:rPr>
  </w:style>
  <w:style w:type="character" w:customStyle="1" w:styleId="Ttulo4Car">
    <w:name w:val="Título 4 Car"/>
    <w:link w:val="Ttulo4"/>
    <w:uiPriority w:val="99"/>
    <w:locked/>
    <w:rsid w:val="00AB0460"/>
    <w:rPr>
      <w:rFonts w:ascii="Arial" w:hAnsi="Arial" w:cs="Times New Roman"/>
      <w:sz w:val="28"/>
      <w:lang w:val="es-ES" w:eastAsia="es-ES"/>
    </w:rPr>
  </w:style>
  <w:style w:type="character" w:customStyle="1" w:styleId="Ttulo5Car">
    <w:name w:val="Título 5 Car"/>
    <w:link w:val="Ttulo5"/>
    <w:uiPriority w:val="99"/>
    <w:locked/>
    <w:rsid w:val="00AB0460"/>
    <w:rPr>
      <w:rFonts w:cs="Times New Roman"/>
      <w:b/>
      <w:sz w:val="26"/>
      <w:u w:val="single"/>
      <w:lang w:val="es-ES" w:eastAsia="es-ES"/>
    </w:rPr>
  </w:style>
  <w:style w:type="character" w:customStyle="1" w:styleId="Ttulo6Car">
    <w:name w:val="Título 6 Car"/>
    <w:link w:val="Ttulo6"/>
    <w:uiPriority w:val="99"/>
    <w:locked/>
    <w:rsid w:val="00AB0460"/>
    <w:rPr>
      <w:rFonts w:cs="Times New Roman"/>
      <w:b/>
      <w:sz w:val="15"/>
      <w:lang w:val="es-ES" w:eastAsia="es-ES"/>
    </w:rPr>
  </w:style>
  <w:style w:type="character" w:customStyle="1" w:styleId="Ttulo7Car">
    <w:name w:val="Título 7 Car"/>
    <w:link w:val="Ttulo7"/>
    <w:uiPriority w:val="99"/>
    <w:locked/>
    <w:rsid w:val="00AB0460"/>
    <w:rPr>
      <w:rFonts w:cs="Times New Roman"/>
      <w:sz w:val="24"/>
      <w:lang w:val="es-ES" w:eastAsia="es-ES"/>
    </w:rPr>
  </w:style>
  <w:style w:type="character" w:customStyle="1" w:styleId="Ttulo8Car">
    <w:name w:val="Título 8 Car"/>
    <w:link w:val="Ttulo8"/>
    <w:uiPriority w:val="99"/>
    <w:locked/>
    <w:rsid w:val="00AB0460"/>
    <w:rPr>
      <w:rFonts w:cs="Times New Roman"/>
      <w:i/>
      <w:sz w:val="24"/>
      <w:lang w:val="es-ES" w:eastAsia="es-ES"/>
    </w:rPr>
  </w:style>
  <w:style w:type="character" w:customStyle="1" w:styleId="Ttulo9Car">
    <w:name w:val="Título 9 Car"/>
    <w:link w:val="Ttulo9"/>
    <w:uiPriority w:val="99"/>
    <w:locked/>
    <w:rsid w:val="00AB0460"/>
    <w:rPr>
      <w:rFonts w:ascii="Arial" w:hAnsi="Arial" w:cs="Times New Roman"/>
      <w:sz w:val="22"/>
      <w:lang w:val="es-ES" w:eastAsia="es-ES"/>
    </w:rPr>
  </w:style>
  <w:style w:type="paragraph" w:styleId="Encabezado">
    <w:name w:val="header"/>
    <w:basedOn w:val="Normal"/>
    <w:link w:val="EncabezadoCar"/>
    <w:uiPriority w:val="99"/>
    <w:rsid w:val="008C02D3"/>
    <w:pPr>
      <w:tabs>
        <w:tab w:val="center" w:pos="4252"/>
        <w:tab w:val="right" w:pos="8504"/>
      </w:tabs>
    </w:pPr>
  </w:style>
  <w:style w:type="character" w:customStyle="1" w:styleId="EncabezadoCar">
    <w:name w:val="Encabezado Car"/>
    <w:link w:val="Encabezado"/>
    <w:uiPriority w:val="99"/>
    <w:locked/>
    <w:rsid w:val="008C02D3"/>
    <w:rPr>
      <w:rFonts w:ascii="Arial" w:hAnsi="Arial" w:cs="Times New Roman"/>
      <w:sz w:val="18"/>
      <w:lang w:val="es-ES_tradnl" w:eastAsia="es-CO"/>
    </w:rPr>
  </w:style>
  <w:style w:type="paragraph" w:styleId="Piedepgina">
    <w:name w:val="footer"/>
    <w:basedOn w:val="Normal"/>
    <w:link w:val="PiedepginaCar"/>
    <w:rsid w:val="00325AB9"/>
    <w:pPr>
      <w:tabs>
        <w:tab w:val="center" w:pos="4419"/>
        <w:tab w:val="right" w:pos="8838"/>
      </w:tabs>
    </w:pPr>
  </w:style>
  <w:style w:type="character" w:customStyle="1" w:styleId="PiedepginaCar">
    <w:name w:val="Pie de página Car"/>
    <w:link w:val="Piedepgina"/>
    <w:locked/>
    <w:rsid w:val="00325AB9"/>
    <w:rPr>
      <w:rFonts w:ascii="Arial" w:hAnsi="Arial" w:cs="Times New Roman"/>
      <w:sz w:val="18"/>
      <w:lang w:val="es-ES_tradnl"/>
    </w:rPr>
  </w:style>
  <w:style w:type="character" w:styleId="Nmerodepgina">
    <w:name w:val="page number"/>
    <w:uiPriority w:val="99"/>
    <w:rsid w:val="00325AB9"/>
    <w:rPr>
      <w:rFonts w:cs="Times New Roman"/>
    </w:rPr>
  </w:style>
  <w:style w:type="paragraph" w:customStyle="1" w:styleId="Encabezadodetabladecontenido1">
    <w:name w:val="Encabezado de tabla de contenido1"/>
    <w:basedOn w:val="Ttulo1"/>
    <w:next w:val="Normal"/>
    <w:uiPriority w:val="99"/>
    <w:semiHidden/>
    <w:rsid w:val="007004F4"/>
    <w:pPr>
      <w:keepLines/>
      <w:spacing w:before="480" w:after="0" w:line="276" w:lineRule="auto"/>
      <w:jc w:val="left"/>
      <w:outlineLvl w:val="9"/>
    </w:pPr>
    <w:rPr>
      <w:rFonts w:ascii="Cambria" w:hAnsi="Cambria"/>
      <w:caps w:val="0"/>
      <w:color w:val="365F91"/>
      <w:kern w:val="0"/>
      <w:sz w:val="28"/>
      <w:szCs w:val="28"/>
      <w:lang w:val="es-CO"/>
    </w:rPr>
  </w:style>
  <w:style w:type="paragraph" w:styleId="TDC1">
    <w:name w:val="toc 1"/>
    <w:basedOn w:val="Normal"/>
    <w:next w:val="Normal"/>
    <w:autoRedefine/>
    <w:uiPriority w:val="99"/>
    <w:rsid w:val="007004F4"/>
    <w:pPr>
      <w:spacing w:before="240" w:after="120"/>
      <w:jc w:val="left"/>
    </w:pPr>
    <w:rPr>
      <w:b/>
      <w:bCs/>
      <w:sz w:val="16"/>
    </w:rPr>
  </w:style>
  <w:style w:type="paragraph" w:styleId="TDC2">
    <w:name w:val="toc 2"/>
    <w:basedOn w:val="Normal"/>
    <w:next w:val="Normal"/>
    <w:autoRedefine/>
    <w:uiPriority w:val="99"/>
    <w:rsid w:val="007004F4"/>
    <w:pPr>
      <w:ind w:left="180"/>
      <w:jc w:val="left"/>
    </w:pPr>
    <w:rPr>
      <w:iCs/>
      <w:sz w:val="16"/>
    </w:rPr>
  </w:style>
  <w:style w:type="character" w:styleId="Hipervnculo">
    <w:name w:val="Hyperlink"/>
    <w:uiPriority w:val="99"/>
    <w:rsid w:val="007004F4"/>
    <w:rPr>
      <w:rFonts w:cs="Times New Roman"/>
      <w:color w:val="0000FF"/>
      <w:u w:val="single"/>
    </w:rPr>
  </w:style>
  <w:style w:type="paragraph" w:styleId="TDC3">
    <w:name w:val="toc 3"/>
    <w:basedOn w:val="Normal"/>
    <w:next w:val="Normal"/>
    <w:autoRedefine/>
    <w:uiPriority w:val="99"/>
    <w:rsid w:val="007004F4"/>
    <w:pPr>
      <w:ind w:left="360"/>
      <w:jc w:val="left"/>
    </w:pPr>
    <w:rPr>
      <w:rFonts w:ascii="Calibri" w:hAnsi="Calibri"/>
      <w:sz w:val="20"/>
    </w:rPr>
  </w:style>
  <w:style w:type="paragraph" w:styleId="TDC4">
    <w:name w:val="toc 4"/>
    <w:basedOn w:val="Normal"/>
    <w:next w:val="Normal"/>
    <w:autoRedefine/>
    <w:uiPriority w:val="99"/>
    <w:rsid w:val="007004F4"/>
    <w:pPr>
      <w:ind w:left="540"/>
      <w:jc w:val="left"/>
    </w:pPr>
    <w:rPr>
      <w:rFonts w:ascii="Calibri" w:hAnsi="Calibri"/>
      <w:sz w:val="20"/>
    </w:rPr>
  </w:style>
  <w:style w:type="paragraph" w:styleId="TDC5">
    <w:name w:val="toc 5"/>
    <w:basedOn w:val="Normal"/>
    <w:next w:val="Normal"/>
    <w:autoRedefine/>
    <w:uiPriority w:val="99"/>
    <w:rsid w:val="007004F4"/>
    <w:pPr>
      <w:ind w:left="720"/>
      <w:jc w:val="left"/>
    </w:pPr>
    <w:rPr>
      <w:rFonts w:ascii="Calibri" w:hAnsi="Calibri"/>
      <w:sz w:val="20"/>
    </w:rPr>
  </w:style>
  <w:style w:type="paragraph" w:styleId="TDC6">
    <w:name w:val="toc 6"/>
    <w:basedOn w:val="Normal"/>
    <w:next w:val="Normal"/>
    <w:autoRedefine/>
    <w:uiPriority w:val="99"/>
    <w:rsid w:val="007004F4"/>
    <w:pPr>
      <w:ind w:left="900"/>
      <w:jc w:val="left"/>
    </w:pPr>
    <w:rPr>
      <w:rFonts w:ascii="Calibri" w:hAnsi="Calibri"/>
      <w:sz w:val="20"/>
    </w:rPr>
  </w:style>
  <w:style w:type="paragraph" w:styleId="TDC7">
    <w:name w:val="toc 7"/>
    <w:basedOn w:val="Normal"/>
    <w:next w:val="Normal"/>
    <w:autoRedefine/>
    <w:uiPriority w:val="99"/>
    <w:rsid w:val="007004F4"/>
    <w:pPr>
      <w:ind w:left="1080"/>
      <w:jc w:val="left"/>
    </w:pPr>
    <w:rPr>
      <w:rFonts w:ascii="Calibri" w:hAnsi="Calibri"/>
      <w:sz w:val="20"/>
    </w:rPr>
  </w:style>
  <w:style w:type="paragraph" w:styleId="TDC8">
    <w:name w:val="toc 8"/>
    <w:basedOn w:val="Normal"/>
    <w:next w:val="Normal"/>
    <w:autoRedefine/>
    <w:uiPriority w:val="99"/>
    <w:rsid w:val="007004F4"/>
    <w:pPr>
      <w:ind w:left="1260"/>
      <w:jc w:val="left"/>
    </w:pPr>
    <w:rPr>
      <w:rFonts w:ascii="Calibri" w:hAnsi="Calibri"/>
      <w:sz w:val="20"/>
    </w:rPr>
  </w:style>
  <w:style w:type="paragraph" w:styleId="TDC9">
    <w:name w:val="toc 9"/>
    <w:basedOn w:val="Normal"/>
    <w:next w:val="Normal"/>
    <w:autoRedefine/>
    <w:uiPriority w:val="99"/>
    <w:rsid w:val="007004F4"/>
    <w:pPr>
      <w:ind w:left="1440"/>
      <w:jc w:val="left"/>
    </w:pPr>
    <w:rPr>
      <w:rFonts w:ascii="Calibri" w:hAnsi="Calibri"/>
      <w:sz w:val="20"/>
    </w:rPr>
  </w:style>
  <w:style w:type="paragraph" w:styleId="Textodeglobo">
    <w:name w:val="Balloon Text"/>
    <w:basedOn w:val="Normal"/>
    <w:link w:val="TextodegloboCar"/>
    <w:uiPriority w:val="99"/>
    <w:semiHidden/>
    <w:rsid w:val="00505CE8"/>
    <w:rPr>
      <w:rFonts w:ascii="Tahoma" w:hAnsi="Tahoma"/>
      <w:sz w:val="16"/>
    </w:rPr>
  </w:style>
  <w:style w:type="character" w:customStyle="1" w:styleId="TextodegloboCar">
    <w:name w:val="Texto de globo Car"/>
    <w:link w:val="Textodeglobo"/>
    <w:uiPriority w:val="99"/>
    <w:semiHidden/>
    <w:locked/>
    <w:rsid w:val="00505CE8"/>
    <w:rPr>
      <w:rFonts w:ascii="Tahoma" w:hAnsi="Tahoma" w:cs="Times New Roman"/>
      <w:sz w:val="16"/>
      <w:lang w:val="es-ES_tradnl" w:eastAsia="es-CO"/>
    </w:rPr>
  </w:style>
  <w:style w:type="character" w:styleId="Refdecomentario">
    <w:name w:val="annotation reference"/>
    <w:uiPriority w:val="99"/>
    <w:semiHidden/>
    <w:rsid w:val="00EB2B10"/>
    <w:rPr>
      <w:rFonts w:cs="Times New Roman"/>
      <w:sz w:val="16"/>
      <w:szCs w:val="16"/>
    </w:rPr>
  </w:style>
  <w:style w:type="paragraph" w:styleId="Textocomentario">
    <w:name w:val="annotation text"/>
    <w:basedOn w:val="Normal"/>
    <w:link w:val="TextocomentarioCar"/>
    <w:uiPriority w:val="99"/>
    <w:semiHidden/>
    <w:rsid w:val="00EB2B10"/>
    <w:rPr>
      <w:sz w:val="20"/>
    </w:rPr>
  </w:style>
  <w:style w:type="character" w:customStyle="1" w:styleId="TextocomentarioCar">
    <w:name w:val="Texto comentario Car"/>
    <w:link w:val="Textocomentario"/>
    <w:uiPriority w:val="99"/>
    <w:semiHidden/>
    <w:locked/>
    <w:rsid w:val="00EB2B10"/>
    <w:rPr>
      <w:rFonts w:ascii="Arial" w:hAnsi="Arial" w:cs="Times New Roman"/>
      <w:lang w:val="es-ES_tradnl" w:eastAsia="es-CO"/>
    </w:rPr>
  </w:style>
  <w:style w:type="paragraph" w:styleId="Asuntodelcomentario">
    <w:name w:val="annotation subject"/>
    <w:basedOn w:val="Textocomentario"/>
    <w:next w:val="Textocomentario"/>
    <w:link w:val="AsuntodelcomentarioCar"/>
    <w:uiPriority w:val="99"/>
    <w:semiHidden/>
    <w:rsid w:val="00EB2B10"/>
    <w:rPr>
      <w:b/>
      <w:bCs/>
    </w:rPr>
  </w:style>
  <w:style w:type="character" w:customStyle="1" w:styleId="AsuntodelcomentarioCar">
    <w:name w:val="Asunto del comentario Car"/>
    <w:link w:val="Asuntodelcomentario"/>
    <w:uiPriority w:val="99"/>
    <w:semiHidden/>
    <w:locked/>
    <w:rsid w:val="00EB2B10"/>
    <w:rPr>
      <w:rFonts w:ascii="Arial" w:hAnsi="Arial" w:cs="Times New Roman"/>
      <w:b/>
      <w:bCs/>
      <w:lang w:val="es-ES_tradnl" w:eastAsia="es-CO"/>
    </w:rPr>
  </w:style>
  <w:style w:type="character" w:customStyle="1" w:styleId="Ninguno">
    <w:name w:val="Ninguno"/>
    <w:rsid w:val="00D07841"/>
    <w:rPr>
      <w:lang w:val="es-ES_tradnl"/>
    </w:rPr>
  </w:style>
  <w:style w:type="paragraph" w:styleId="Revisin">
    <w:name w:val="Revision"/>
    <w:hidden/>
    <w:uiPriority w:val="71"/>
    <w:rsid w:val="000027FD"/>
    <w:rPr>
      <w:rFonts w:ascii="Arial" w:hAnsi="Arial"/>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ixelsPerInch w:val="72"/>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4.bin"/><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oleObject" Target="embeddings/oleObject25.bin"/><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oleObject" Target="embeddings/oleObject9.bin"/><Relationship Id="rId11" Type="http://schemas.openxmlformats.org/officeDocument/2006/relationships/header" Target="header1.xml"/><Relationship Id="rId24" Type="http://schemas.openxmlformats.org/officeDocument/2006/relationships/oleObject" Target="embeddings/oleObject6.bin"/><Relationship Id="rId32" Type="http://schemas.openxmlformats.org/officeDocument/2006/relationships/image" Target="media/image10.wmf"/><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oleObject" Target="embeddings/oleObject27.bin"/><Relationship Id="rId5" Type="http://schemas.openxmlformats.org/officeDocument/2006/relationships/numbering" Target="numbering.xml"/><Relationship Id="rId61" Type="http://schemas.openxmlformats.org/officeDocument/2006/relationships/header" Target="header2.xml"/><Relationship Id="rId19" Type="http://schemas.openxmlformats.org/officeDocument/2006/relationships/image" Target="media/image4.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image" Target="media/image9.wmf"/><Relationship Id="rId35" Type="http://schemas.openxmlformats.org/officeDocument/2006/relationships/oleObject" Target="embeddings/oleObject12.bin"/><Relationship Id="rId43" Type="http://schemas.openxmlformats.org/officeDocument/2006/relationships/image" Target="media/image15.wmf"/><Relationship Id="rId48" Type="http://schemas.openxmlformats.org/officeDocument/2006/relationships/image" Target="media/image17.wmf"/><Relationship Id="rId56" Type="http://schemas.openxmlformats.org/officeDocument/2006/relationships/oleObject" Target="embeddings/oleObject26.bin"/><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oleObject" Target="embeddings/oleObject22.bin"/><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1.bin"/><Relationship Id="rId38" Type="http://schemas.openxmlformats.org/officeDocument/2006/relationships/image" Target="media/image13.wmf"/><Relationship Id="rId46" Type="http://schemas.openxmlformats.org/officeDocument/2006/relationships/image" Target="media/image16.wmf"/><Relationship Id="rId59" Type="http://schemas.openxmlformats.org/officeDocument/2006/relationships/image" Target="media/image20.wmf"/><Relationship Id="rId20" Type="http://schemas.openxmlformats.org/officeDocument/2006/relationships/oleObject" Target="embeddings/oleObject4.bin"/><Relationship Id="rId41" Type="http://schemas.openxmlformats.org/officeDocument/2006/relationships/image" Target="media/image14.wmf"/><Relationship Id="rId54" Type="http://schemas.openxmlformats.org/officeDocument/2006/relationships/image" Target="media/image18.wmf"/><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2.wmf"/><Relationship Id="rId49" Type="http://schemas.openxmlformats.org/officeDocument/2006/relationships/oleObject" Target="embeddings/oleObject20.bin"/><Relationship Id="rId57" Type="http://schemas.openxmlformats.org/officeDocument/2006/relationships/image" Target="media/image19.wmf"/><Relationship Id="rId10" Type="http://schemas.openxmlformats.org/officeDocument/2006/relationships/endnotes" Target="endnotes.xml"/><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28.bin"/><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63FDA3D9394A4AA5A5B57087E4B06C" ma:contentTypeVersion="4" ma:contentTypeDescription="Create a new document." ma:contentTypeScope="" ma:versionID="4b0cfa886ed3cc73dee2e287e6535830">
  <xsd:schema xmlns:xsd="http://www.w3.org/2001/XMLSchema" xmlns:xs="http://www.w3.org/2001/XMLSchema" xmlns:p="http://schemas.microsoft.com/office/2006/metadata/properties" xmlns:ns2="f061d301-c953-450a-a5ed-e69d1e23adad" targetNamespace="http://schemas.microsoft.com/office/2006/metadata/properties" ma:root="true" ma:fieldsID="5961cbda5d487dcf1a49c3e7ce4df126" ns2:_="">
    <xsd:import namespace="f061d301-c953-450a-a5ed-e69d1e23ada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1d301-c953-450a-a5ed-e69d1e23ad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E01CB2-30CF-4736-9A62-732A93B94CC9}"/>
</file>

<file path=customXml/itemProps2.xml><?xml version="1.0" encoding="utf-8"?>
<ds:datastoreItem xmlns:ds="http://schemas.openxmlformats.org/officeDocument/2006/customXml" ds:itemID="{DB06C0DC-A27F-4FF4-99E6-F97D3602FC6B}">
  <ds:schemaRefs>
    <ds:schemaRef ds:uri="http://schemas.openxmlformats.org/officeDocument/2006/bibliography"/>
  </ds:schemaRefs>
</ds:datastoreItem>
</file>

<file path=customXml/itemProps3.xml><?xml version="1.0" encoding="utf-8"?>
<ds:datastoreItem xmlns:ds="http://schemas.openxmlformats.org/officeDocument/2006/customXml" ds:itemID="{29C6D246-059B-4220-86AD-FBE6ACAB14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A13CC1-00B0-4104-99E1-CD2B6636E8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1290</Words>
  <Characters>7099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PARTE II</vt:lpstr>
    </vt:vector>
  </TitlesOfParts>
  <Company>Toshiba</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creator>Yuri Castañeda</dc:creator>
  <cp:lastModifiedBy>Luis Gerardo Ramos Marin</cp:lastModifiedBy>
  <cp:revision>21</cp:revision>
  <dcterms:created xsi:type="dcterms:W3CDTF">2024-07-08T19:45:00Z</dcterms:created>
  <dcterms:modified xsi:type="dcterms:W3CDTF">2024-08-06T16:59:00Z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0x010100CF63FDA3D9394A4AA5A5B57087E4B06C</vt:lpwstr>
  </property>
</Properties>
</file>